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b/>
          <w:bCs/>
          <w:sz w:val="36"/>
          <w:szCs w:val="36"/>
          <w:highlight w:val="none"/>
          <w:lang w:val="en-US" w:eastAsia="zh-CN"/>
        </w:rPr>
      </w:pPr>
      <w:bookmarkStart w:id="0" w:name="_GoBack"/>
      <w:bookmarkEnd w:id="0"/>
      <w:r>
        <w:rPr>
          <w:rFonts w:hint="eastAsia" w:ascii="方正小标宋简体" w:hAnsi="方正小标宋简体" w:eastAsia="方正小标宋简体" w:cs="方正小标宋简体"/>
          <w:b/>
          <w:bCs/>
          <w:color w:val="auto"/>
          <w:kern w:val="2"/>
          <w:sz w:val="36"/>
          <w:szCs w:val="36"/>
          <w:highlight w:val="none"/>
          <w:lang w:val="en-US" w:eastAsia="zh-CN" w:bidi="ar-SA"/>
        </w:rPr>
        <w:t>重庆北碚稠州村镇银行有限责任公司2024年度信息披露报告</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s="宋体"/>
          <w:b/>
          <w:sz w:val="18"/>
          <w:szCs w:val="18"/>
          <w:highlight w:val="none"/>
        </w:rPr>
      </w:pP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1</w:t>
      </w:r>
      <w:r>
        <w:rPr>
          <w:rFonts w:hint="default" w:ascii="Times New Roman" w:hAnsi="Times New Roman" w:eastAsia="仿宋_GB2312" w:cs="Times New Roman"/>
          <w:b/>
          <w:sz w:val="30"/>
          <w:szCs w:val="30"/>
          <w:highlight w:val="none"/>
          <w:lang w:eastAsia="zh-CN"/>
        </w:rPr>
        <w:t>、</w:t>
      </w:r>
      <w:r>
        <w:rPr>
          <w:rFonts w:hint="default" w:ascii="Times New Roman" w:hAnsi="Times New Roman" w:eastAsia="仿宋_GB2312" w:cs="Times New Roman"/>
          <w:b/>
          <w:sz w:val="30"/>
          <w:szCs w:val="30"/>
          <w:highlight w:val="none"/>
        </w:rPr>
        <w:t>重要提示</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1.1</w:t>
      </w:r>
      <w:r>
        <w:rPr>
          <w:rFonts w:hint="default" w:ascii="Times New Roman" w:hAnsi="Times New Roman" w:eastAsia="仿宋_GB2312" w:cs="Times New Roman"/>
          <w:sz w:val="30"/>
          <w:szCs w:val="30"/>
          <w:highlight w:val="none"/>
          <w:lang w:eastAsia="zh-CN"/>
        </w:rPr>
        <w:t>重庆北碚稠州</w:t>
      </w:r>
      <w:r>
        <w:rPr>
          <w:rFonts w:hint="default" w:ascii="Times New Roman" w:hAnsi="Times New Roman" w:eastAsia="仿宋_GB2312" w:cs="Times New Roman"/>
          <w:sz w:val="30"/>
          <w:szCs w:val="30"/>
          <w:highlight w:val="none"/>
        </w:rPr>
        <w:t>村镇银行</w:t>
      </w:r>
      <w:r>
        <w:rPr>
          <w:rFonts w:hint="default" w:ascii="Times New Roman" w:hAnsi="Times New Roman" w:eastAsia="仿宋_GB2312" w:cs="Times New Roman"/>
          <w:sz w:val="30"/>
          <w:szCs w:val="30"/>
          <w:highlight w:val="none"/>
          <w:lang w:val="en-US" w:eastAsia="zh-CN"/>
        </w:rPr>
        <w:t>有限责任公司</w:t>
      </w:r>
      <w:r>
        <w:rPr>
          <w:rFonts w:hint="default" w:ascii="Times New Roman" w:hAnsi="Times New Roman" w:eastAsia="仿宋_GB2312" w:cs="Times New Roman"/>
          <w:sz w:val="30"/>
          <w:szCs w:val="30"/>
          <w:highlight w:val="none"/>
        </w:rPr>
        <w:t>（以下简称“本公司”或“本行”）董事会、监事会及董事、监事、高级管理人员保证本报告所载资料不存在任何虚假记载、误导性陈述或者重大遗漏，并对其内容的真实性、准确性和完整性承担个别及连带责任。</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sz w:val="30"/>
          <w:szCs w:val="30"/>
          <w:highlight w:val="none"/>
        </w:rPr>
        <w:t>1.2上会会计师事务所</w:t>
      </w:r>
      <w:r>
        <w:rPr>
          <w:rFonts w:hint="default" w:ascii="Times New Roman" w:hAnsi="Times New Roman" w:eastAsia="仿宋_GB2312" w:cs="Times New Roman"/>
          <w:kern w:val="0"/>
          <w:sz w:val="30"/>
          <w:szCs w:val="30"/>
          <w:highlight w:val="none"/>
        </w:rPr>
        <w:t>为本公司出具了标准无保留意见的审计报告。</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1.3</w:t>
      </w:r>
      <w:r>
        <w:rPr>
          <w:rFonts w:hint="default" w:ascii="Times New Roman" w:hAnsi="Times New Roman" w:eastAsia="仿宋_GB2312" w:cs="Times New Roman"/>
          <w:kern w:val="0"/>
          <w:sz w:val="30"/>
          <w:szCs w:val="30"/>
          <w:highlight w:val="none"/>
        </w:rPr>
        <w:t>公司法定代表人</w:t>
      </w:r>
      <w:r>
        <w:rPr>
          <w:rFonts w:hint="default" w:ascii="Times New Roman" w:hAnsi="Times New Roman" w:eastAsia="仿宋_GB2312" w:cs="Times New Roman"/>
          <w:kern w:val="0"/>
          <w:sz w:val="30"/>
          <w:szCs w:val="30"/>
          <w:highlight w:val="none"/>
          <w:lang w:val="en-US" w:eastAsia="zh-CN"/>
        </w:rPr>
        <w:t>金庆洪</w:t>
      </w:r>
      <w:r>
        <w:rPr>
          <w:rFonts w:hint="default" w:ascii="Times New Roman" w:hAnsi="Times New Roman" w:eastAsia="仿宋_GB2312" w:cs="Times New Roman"/>
          <w:kern w:val="0"/>
          <w:sz w:val="30"/>
          <w:szCs w:val="30"/>
          <w:highlight w:val="none"/>
        </w:rPr>
        <w:t>先生、行长</w:t>
      </w:r>
      <w:r>
        <w:rPr>
          <w:rFonts w:hint="default" w:ascii="Times New Roman" w:hAnsi="Times New Roman" w:eastAsia="仿宋_GB2312" w:cs="Times New Roman"/>
          <w:kern w:val="0"/>
          <w:sz w:val="30"/>
          <w:szCs w:val="30"/>
          <w:highlight w:val="none"/>
          <w:lang w:val="en-US" w:eastAsia="zh-CN"/>
        </w:rPr>
        <w:t>陈余娟女士</w:t>
      </w:r>
      <w:r>
        <w:rPr>
          <w:rFonts w:hint="default" w:ascii="Times New Roman" w:hAnsi="Times New Roman" w:eastAsia="仿宋_GB2312" w:cs="Times New Roman"/>
          <w:kern w:val="0"/>
          <w:sz w:val="30"/>
          <w:szCs w:val="30"/>
          <w:highlight w:val="none"/>
        </w:rPr>
        <w:t>、运营管理部负责人</w:t>
      </w:r>
      <w:r>
        <w:rPr>
          <w:rFonts w:hint="default" w:ascii="Times New Roman" w:hAnsi="Times New Roman" w:eastAsia="仿宋_GB2312" w:cs="Times New Roman"/>
          <w:kern w:val="0"/>
          <w:sz w:val="30"/>
          <w:szCs w:val="30"/>
          <w:highlight w:val="none"/>
          <w:lang w:val="en-US" w:eastAsia="zh-CN"/>
        </w:rPr>
        <w:t>王冬先生</w:t>
      </w:r>
      <w:r>
        <w:rPr>
          <w:rFonts w:hint="default" w:ascii="Times New Roman" w:hAnsi="Times New Roman" w:eastAsia="仿宋_GB2312" w:cs="Times New Roman"/>
          <w:kern w:val="0"/>
          <w:sz w:val="30"/>
          <w:szCs w:val="30"/>
          <w:highlight w:val="none"/>
        </w:rPr>
        <w:t>声明：保证年度报告中财务数据的真实、完整。</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2</w:t>
      </w:r>
      <w:r>
        <w:rPr>
          <w:rFonts w:hint="default" w:ascii="Times New Roman" w:hAnsi="Times New Roman" w:eastAsia="仿宋_GB2312" w:cs="Times New Roman"/>
          <w:b/>
          <w:sz w:val="30"/>
          <w:szCs w:val="30"/>
          <w:highlight w:val="none"/>
          <w:lang w:eastAsia="zh-CN"/>
        </w:rPr>
        <w:t>、</w:t>
      </w:r>
      <w:r>
        <w:rPr>
          <w:rFonts w:hint="default" w:ascii="Times New Roman" w:hAnsi="Times New Roman" w:eastAsia="仿宋_GB2312" w:cs="Times New Roman"/>
          <w:b/>
          <w:sz w:val="30"/>
          <w:szCs w:val="30"/>
          <w:highlight w:val="none"/>
        </w:rPr>
        <w:t>本公司基本情况简介</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kern w:val="0"/>
          <w:sz w:val="30"/>
          <w:szCs w:val="30"/>
          <w:highlight w:val="none"/>
        </w:rPr>
        <w:t>2.1基本情况简介</w:t>
      </w:r>
    </w:p>
    <w:tbl>
      <w:tblPr>
        <w:tblStyle w:val="3"/>
        <w:tblW w:w="8320" w:type="dxa"/>
        <w:jc w:val="center"/>
        <w:tblLayout w:type="fixed"/>
        <w:tblCellMar>
          <w:top w:w="0" w:type="dxa"/>
          <w:left w:w="0" w:type="dxa"/>
          <w:bottom w:w="0" w:type="dxa"/>
          <w:right w:w="0" w:type="dxa"/>
        </w:tblCellMar>
      </w:tblPr>
      <w:tblGrid>
        <w:gridCol w:w="2788"/>
        <w:gridCol w:w="5532"/>
      </w:tblGrid>
      <w:tr>
        <w:tblPrEx>
          <w:tblCellMar>
            <w:top w:w="0" w:type="dxa"/>
            <w:left w:w="0" w:type="dxa"/>
            <w:bottom w:w="0" w:type="dxa"/>
            <w:right w:w="0" w:type="dxa"/>
          </w:tblCellMar>
        </w:tblPrEx>
        <w:trPr>
          <w:trHeight w:val="575"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法定中文名称</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lang w:eastAsia="zh-CN"/>
              </w:rPr>
              <w:t>重庆北碚稠州</w:t>
            </w:r>
            <w:r>
              <w:rPr>
                <w:rFonts w:hint="default" w:ascii="Times New Roman" w:hAnsi="Times New Roman" w:eastAsia="仿宋_GB2312" w:cs="Times New Roman"/>
                <w:sz w:val="24"/>
                <w:szCs w:val="24"/>
                <w:highlight w:val="none"/>
              </w:rPr>
              <w:t>村镇银行有限</w:t>
            </w:r>
            <w:r>
              <w:rPr>
                <w:rFonts w:hint="default" w:ascii="Times New Roman" w:hAnsi="Times New Roman" w:eastAsia="仿宋_GB2312" w:cs="Times New Roman"/>
                <w:sz w:val="24"/>
                <w:szCs w:val="24"/>
                <w:highlight w:val="none"/>
                <w:lang w:val="en-US" w:eastAsia="zh-CN"/>
              </w:rPr>
              <w:t>责任</w:t>
            </w:r>
            <w:r>
              <w:rPr>
                <w:rFonts w:hint="default" w:ascii="Times New Roman" w:hAnsi="Times New Roman" w:eastAsia="仿宋_GB2312" w:cs="Times New Roman"/>
                <w:sz w:val="24"/>
                <w:szCs w:val="24"/>
                <w:highlight w:val="none"/>
              </w:rPr>
              <w:t>公司（简称：</w:t>
            </w:r>
            <w:r>
              <w:rPr>
                <w:rFonts w:hint="default" w:ascii="Times New Roman" w:hAnsi="Times New Roman" w:eastAsia="仿宋_GB2312" w:cs="Times New Roman"/>
                <w:sz w:val="24"/>
                <w:szCs w:val="24"/>
                <w:highlight w:val="none"/>
                <w:lang w:eastAsia="zh-CN"/>
              </w:rPr>
              <w:t>重庆北碚稠州</w:t>
            </w:r>
            <w:r>
              <w:rPr>
                <w:rFonts w:hint="default" w:ascii="Times New Roman" w:hAnsi="Times New Roman" w:eastAsia="仿宋_GB2312" w:cs="Times New Roman"/>
                <w:sz w:val="24"/>
                <w:szCs w:val="24"/>
                <w:highlight w:val="none"/>
              </w:rPr>
              <w:t>村镇银行）</w:t>
            </w:r>
          </w:p>
        </w:tc>
      </w:tr>
      <w:tr>
        <w:tblPrEx>
          <w:tblCellMar>
            <w:top w:w="0" w:type="dxa"/>
            <w:left w:w="0" w:type="dxa"/>
            <w:bottom w:w="0" w:type="dxa"/>
            <w:right w:w="0" w:type="dxa"/>
          </w:tblCellMar>
        </w:tblPrEx>
        <w:trPr>
          <w:trHeight w:val="350"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法定英文名称</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pStyle w:val="5"/>
              <w:spacing w:line="500" w:lineRule="exact"/>
              <w:ind w:firstLine="240" w:firstLineChars="100"/>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CHONGQING BEIBEI CHOUZHOU RURAL BANK</w:t>
            </w:r>
          </w:p>
        </w:tc>
      </w:tr>
      <w:tr>
        <w:tblPrEx>
          <w:tblCellMar>
            <w:top w:w="0" w:type="dxa"/>
            <w:left w:w="0" w:type="dxa"/>
            <w:bottom w:w="0" w:type="dxa"/>
            <w:right w:w="0" w:type="dxa"/>
          </w:tblCellMar>
        </w:tblPrEx>
        <w:trPr>
          <w:trHeight w:val="20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法定代表人</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金庆洪</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注册地址</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重庆市北碚区云华路214号、216号、218号、200号附10、11、12、13、16号</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邮政编码</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400700</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国际互联网网址</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sz w:val="24"/>
                <w:szCs w:val="24"/>
                <w:highlight w:val="none"/>
                <w:lang w:val="en-US" w:eastAsia="zh-CN"/>
              </w:rPr>
              <w:t>http：//bb.czcb.com.cn</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kern w:val="0"/>
                <w:position w:val="-2"/>
                <w:sz w:val="24"/>
                <w:szCs w:val="24"/>
                <w:highlight w:val="none"/>
              </w:rPr>
            </w:pPr>
            <w:r>
              <w:rPr>
                <w:rFonts w:hint="default" w:ascii="Times New Roman" w:hAnsi="Times New Roman" w:eastAsia="仿宋_GB2312" w:cs="Times New Roman"/>
                <w:kern w:val="0"/>
                <w:position w:val="-2"/>
                <w:sz w:val="24"/>
                <w:szCs w:val="24"/>
                <w:highlight w:val="none"/>
              </w:rPr>
              <w:t>电子信箱</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u w:val="single"/>
                <w:lang w:val="en-US" w:eastAsia="zh-CN"/>
              </w:rPr>
              <w:t>bbczrb@163.com</w:t>
            </w:r>
          </w:p>
        </w:tc>
      </w:tr>
    </w:tbl>
    <w:p>
      <w:pPr>
        <w:ind w:firstLine="590" w:firstLineChars="196"/>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2.2信息披露及联系方式</w:t>
      </w:r>
    </w:p>
    <w:tbl>
      <w:tblPr>
        <w:tblStyle w:val="3"/>
        <w:tblW w:w="8320" w:type="dxa"/>
        <w:jc w:val="center"/>
        <w:tblLayout w:type="fixed"/>
        <w:tblCellMar>
          <w:top w:w="0" w:type="dxa"/>
          <w:left w:w="0" w:type="dxa"/>
          <w:bottom w:w="0" w:type="dxa"/>
          <w:right w:w="0" w:type="dxa"/>
        </w:tblCellMar>
      </w:tblPr>
      <w:tblGrid>
        <w:gridCol w:w="2787"/>
        <w:gridCol w:w="5533"/>
      </w:tblGrid>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刊登年报摘要的网站</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sz w:val="24"/>
                <w:szCs w:val="24"/>
                <w:highlight w:val="none"/>
                <w:lang w:eastAsia="zh-CN"/>
              </w:rPr>
              <w:t>重庆北碚稠州</w:t>
            </w:r>
            <w:r>
              <w:rPr>
                <w:rFonts w:hint="default" w:ascii="Times New Roman" w:hAnsi="Times New Roman" w:eastAsia="仿宋_GB2312" w:cs="Times New Roman"/>
                <w:sz w:val="24"/>
                <w:szCs w:val="24"/>
                <w:highlight w:val="none"/>
              </w:rPr>
              <w:t>村镇银行有限</w:t>
            </w:r>
            <w:r>
              <w:rPr>
                <w:rFonts w:hint="default" w:ascii="Times New Roman" w:hAnsi="Times New Roman" w:eastAsia="仿宋_GB2312" w:cs="Times New Roman"/>
                <w:sz w:val="24"/>
                <w:szCs w:val="24"/>
                <w:highlight w:val="none"/>
                <w:lang w:val="en-US" w:eastAsia="zh-CN"/>
              </w:rPr>
              <w:t>责任</w:t>
            </w:r>
            <w:r>
              <w:rPr>
                <w:rFonts w:hint="default" w:ascii="Times New Roman" w:hAnsi="Times New Roman" w:eastAsia="仿宋_GB2312" w:cs="Times New Roman"/>
                <w:sz w:val="24"/>
                <w:szCs w:val="24"/>
                <w:highlight w:val="none"/>
              </w:rPr>
              <w:t>公司官方网站</w:t>
            </w:r>
          </w:p>
        </w:tc>
      </w:tr>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年度报告备置地点</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本行董事会办公室</w:t>
            </w:r>
          </w:p>
        </w:tc>
      </w:tr>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地址</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1"/>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lang w:val="en-US" w:eastAsia="zh-CN"/>
              </w:rPr>
              <w:t>重庆市北碚区云华</w:t>
            </w:r>
            <w:r>
              <w:rPr>
                <w:rFonts w:hint="default" w:ascii="Times New Roman" w:hAnsi="Times New Roman" w:eastAsia="仿宋_GB2312" w:cs="Times New Roman"/>
                <w:color w:val="auto"/>
                <w:sz w:val="24"/>
                <w:szCs w:val="24"/>
                <w:highlight w:val="none"/>
                <w:lang w:val="en-US" w:eastAsia="zh-CN"/>
              </w:rPr>
              <w:t>路218号</w:t>
            </w:r>
          </w:p>
        </w:tc>
      </w:tr>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联系电话</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rPr>
              <w:t xml:space="preserve"> </w:t>
            </w:r>
            <w:r>
              <w:rPr>
                <w:rFonts w:hint="default" w:ascii="Times New Roman" w:hAnsi="Times New Roman" w:eastAsia="仿宋_GB2312" w:cs="Times New Roman"/>
                <w:kern w:val="0"/>
                <w:sz w:val="24"/>
                <w:szCs w:val="24"/>
                <w:highlight w:val="none"/>
                <w:lang w:val="en-US" w:eastAsia="zh-CN"/>
              </w:rPr>
              <w:t>023-88028855</w:t>
            </w:r>
          </w:p>
        </w:tc>
      </w:tr>
      <w:tr>
        <w:tblPrEx>
          <w:tblCellMar>
            <w:top w:w="0" w:type="dxa"/>
            <w:left w:w="0" w:type="dxa"/>
            <w:bottom w:w="0" w:type="dxa"/>
            <w:right w:w="0" w:type="dxa"/>
          </w:tblCellMar>
        </w:tblPrEx>
        <w:trPr>
          <w:trHeight w:val="38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1" w:firstLineChars="5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pacing w:val="1"/>
                <w:kern w:val="0"/>
                <w:position w:val="-2"/>
                <w:sz w:val="24"/>
                <w:szCs w:val="24"/>
                <w:highlight w:val="none"/>
              </w:rPr>
              <w:t>传真</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2"/>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val="en-US" w:eastAsia="zh-CN"/>
              </w:rPr>
              <w:t>023-88028855</w:t>
            </w:r>
          </w:p>
        </w:tc>
      </w:tr>
    </w:tbl>
    <w:p>
      <w:pPr>
        <w:ind w:firstLine="602" w:firstLineChars="200"/>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sz w:val="30"/>
          <w:szCs w:val="30"/>
          <w:highlight w:val="none"/>
        </w:rPr>
        <w:t>3</w:t>
      </w:r>
      <w:r>
        <w:rPr>
          <w:rFonts w:hint="default" w:ascii="Times New Roman" w:hAnsi="Times New Roman" w:eastAsia="仿宋_GB2312" w:cs="Times New Roman"/>
          <w:b/>
          <w:bCs/>
          <w:sz w:val="30"/>
          <w:szCs w:val="30"/>
          <w:highlight w:val="none"/>
          <w:lang w:eastAsia="zh-CN"/>
        </w:rPr>
        <w:t>、</w:t>
      </w:r>
      <w:r>
        <w:rPr>
          <w:rFonts w:hint="default" w:ascii="Times New Roman" w:hAnsi="Times New Roman" w:eastAsia="仿宋_GB2312" w:cs="Times New Roman"/>
          <w:b/>
          <w:bCs/>
          <w:sz w:val="30"/>
          <w:szCs w:val="30"/>
          <w:highlight w:val="none"/>
        </w:rPr>
        <w:t>会计数据和业务数据摘要</w:t>
      </w:r>
    </w:p>
    <w:p>
      <w:pPr>
        <w:autoSpaceDE w:val="0"/>
        <w:autoSpaceDN w:val="0"/>
        <w:adjustRightInd w:val="0"/>
        <w:ind w:firstLine="602" w:firstLineChars="200"/>
        <w:rPr>
          <w:rFonts w:hint="default" w:ascii="Times New Roman" w:hAnsi="Times New Roman" w:cs="Times New Roman"/>
          <w:kern w:val="0"/>
          <w:position w:val="-2"/>
          <w:szCs w:val="21"/>
          <w:highlight w:val="none"/>
        </w:rPr>
      </w:pPr>
      <w:r>
        <w:rPr>
          <w:rFonts w:hint="default" w:ascii="Times New Roman" w:hAnsi="Times New Roman" w:eastAsia="仿宋_GB2312" w:cs="Times New Roman"/>
          <w:b/>
          <w:kern w:val="0"/>
          <w:sz w:val="30"/>
          <w:szCs w:val="30"/>
          <w:highlight w:val="none"/>
        </w:rPr>
        <w:t>3.1 主要会计数据</w:t>
      </w:r>
      <w:r>
        <w:rPr>
          <w:rFonts w:hint="default" w:ascii="Times New Roman" w:hAnsi="Times New Roman" w:eastAsia="仿宋_GB2312" w:cs="Times New Roman"/>
          <w:kern w:val="0"/>
          <w:position w:val="-2"/>
          <w:sz w:val="30"/>
          <w:szCs w:val="30"/>
          <w:highlight w:val="none"/>
        </w:rPr>
        <w:t xml:space="preserve">         </w:t>
      </w:r>
      <w:r>
        <w:rPr>
          <w:rFonts w:hint="default" w:ascii="Times New Roman" w:hAnsi="Times New Roman" w:cs="Times New Roman"/>
          <w:kern w:val="0"/>
          <w:position w:val="-2"/>
          <w:szCs w:val="21"/>
          <w:highlight w:val="none"/>
        </w:rPr>
        <w:t xml:space="preserve">                                       </w:t>
      </w:r>
    </w:p>
    <w:p>
      <w:pPr>
        <w:autoSpaceDE w:val="0"/>
        <w:autoSpaceDN w:val="0"/>
        <w:adjustRightInd w:val="0"/>
        <w:ind w:firstLine="420" w:firstLineChars="200"/>
        <w:jc w:val="right"/>
        <w:rPr>
          <w:rFonts w:hint="default" w:ascii="Times New Roman" w:hAnsi="Times New Roman" w:cs="Times New Roman"/>
          <w:kern w:val="0"/>
          <w:position w:val="-2"/>
          <w:szCs w:val="21"/>
          <w:highlight w:val="none"/>
        </w:rPr>
      </w:pPr>
      <w:r>
        <w:rPr>
          <w:rFonts w:hint="default" w:ascii="Times New Roman" w:hAnsi="Times New Roman" w:cs="Times New Roman"/>
          <w:szCs w:val="21"/>
          <w:highlight w:val="none"/>
        </w:rPr>
        <w:t>单位：人民币万元</w:t>
      </w:r>
    </w:p>
    <w:tbl>
      <w:tblPr>
        <w:tblStyle w:val="3"/>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6"/>
        <w:gridCol w:w="5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主要会计数据</w:t>
            </w:r>
          </w:p>
        </w:tc>
        <w:tc>
          <w:tcPr>
            <w:tcW w:w="5622" w:type="dxa"/>
            <w:noWrap w:val="0"/>
            <w:vAlign w:val="center"/>
          </w:tcPr>
          <w:p>
            <w:pPr>
              <w:autoSpaceDE w:val="0"/>
              <w:autoSpaceDN w:val="0"/>
              <w:adjustRightInd w:val="0"/>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202</w:t>
            </w:r>
            <w:r>
              <w:rPr>
                <w:rFonts w:hint="default" w:ascii="Times New Roman" w:hAnsi="Times New Roman" w:eastAsia="仿宋_GB2312" w:cs="Times New Roman"/>
                <w:b/>
                <w:kern w:val="0"/>
                <w:sz w:val="24"/>
                <w:szCs w:val="24"/>
                <w:highlight w:val="none"/>
                <w:lang w:val="en-US"/>
              </w:rPr>
              <w:t>4</w:t>
            </w:r>
            <w:r>
              <w:rPr>
                <w:rFonts w:hint="default" w:ascii="Times New Roman" w:hAnsi="Times New Roman" w:eastAsia="仿宋_GB2312" w:cs="Times New Roman"/>
                <w:b/>
                <w:kern w:val="0"/>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pacing w:val="1"/>
                <w:kern w:val="0"/>
                <w:position w:val="-2"/>
                <w:sz w:val="24"/>
                <w:szCs w:val="24"/>
                <w:highlight w:val="none"/>
              </w:rPr>
              <w:t>营业收入</w:t>
            </w:r>
          </w:p>
        </w:tc>
        <w:tc>
          <w:tcPr>
            <w:tcW w:w="5622" w:type="dxa"/>
            <w:noWrap w:val="0"/>
            <w:vAlign w:val="center"/>
          </w:tcPr>
          <w:p>
            <w:pPr>
              <w:widowControl/>
              <w:jc w:val="center"/>
              <w:textAlignment w:val="center"/>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b/>
                <w:bCs/>
                <w:sz w:val="24"/>
                <w:szCs w:val="24"/>
                <w:highlight w:val="none"/>
                <w:lang w:val="en-US" w:eastAsia="zh-CN"/>
              </w:rPr>
              <w:t>2135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center"/>
              <w:rPr>
                <w:rFonts w:hint="default" w:ascii="Times New Roman" w:hAnsi="Times New Roman" w:eastAsia="仿宋_GB2312" w:cs="Times New Roman"/>
                <w:spacing w:val="1"/>
                <w:kern w:val="0"/>
                <w:position w:val="-2"/>
                <w:sz w:val="24"/>
                <w:szCs w:val="24"/>
                <w:highlight w:val="none"/>
              </w:rPr>
            </w:pPr>
            <w:r>
              <w:rPr>
                <w:rFonts w:hint="default" w:ascii="Times New Roman" w:hAnsi="Times New Roman" w:eastAsia="仿宋_GB2312" w:cs="Times New Roman"/>
                <w:spacing w:val="1"/>
                <w:kern w:val="0"/>
                <w:position w:val="-2"/>
                <w:sz w:val="24"/>
                <w:szCs w:val="24"/>
                <w:highlight w:val="none"/>
              </w:rPr>
              <w:t>营业支出</w:t>
            </w:r>
          </w:p>
        </w:tc>
        <w:tc>
          <w:tcPr>
            <w:tcW w:w="5622" w:type="dxa"/>
            <w:noWrap w:val="0"/>
            <w:vAlign w:val="center"/>
          </w:tcPr>
          <w:p>
            <w:pPr>
              <w:widowControl/>
              <w:jc w:val="center"/>
              <w:textAlignment w:val="center"/>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b/>
                <w:bCs/>
                <w:sz w:val="24"/>
                <w:szCs w:val="24"/>
                <w:highlight w:val="none"/>
                <w:lang w:val="en-US" w:eastAsia="zh-CN"/>
              </w:rPr>
              <w:t>2635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center"/>
              <w:rPr>
                <w:rFonts w:hint="default" w:ascii="Times New Roman" w:hAnsi="Times New Roman" w:eastAsia="仿宋_GB2312" w:cs="Times New Roman"/>
                <w:spacing w:val="1"/>
                <w:kern w:val="0"/>
                <w:position w:val="-2"/>
                <w:sz w:val="24"/>
                <w:szCs w:val="24"/>
                <w:highlight w:val="none"/>
              </w:rPr>
            </w:pPr>
            <w:r>
              <w:rPr>
                <w:rFonts w:hint="default" w:ascii="Times New Roman" w:hAnsi="Times New Roman" w:eastAsia="仿宋_GB2312" w:cs="Times New Roman"/>
                <w:spacing w:val="1"/>
                <w:kern w:val="0"/>
                <w:position w:val="-2"/>
                <w:sz w:val="24"/>
                <w:szCs w:val="24"/>
                <w:highlight w:val="none"/>
              </w:rPr>
              <w:t>营业利润</w:t>
            </w:r>
          </w:p>
        </w:tc>
        <w:tc>
          <w:tcPr>
            <w:tcW w:w="5622" w:type="dxa"/>
            <w:noWrap w:val="0"/>
            <w:vAlign w:val="center"/>
          </w:tcPr>
          <w:p>
            <w:pPr>
              <w:widowControl/>
              <w:jc w:val="center"/>
              <w:textAlignment w:val="center"/>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b/>
                <w:bCs/>
                <w:sz w:val="24"/>
                <w:szCs w:val="24"/>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pacing w:val="1"/>
                <w:kern w:val="0"/>
                <w:position w:val="-2"/>
                <w:sz w:val="24"/>
                <w:szCs w:val="24"/>
                <w:highlight w:val="none"/>
              </w:rPr>
              <w:t>利润总额</w:t>
            </w:r>
          </w:p>
        </w:tc>
        <w:tc>
          <w:tcPr>
            <w:tcW w:w="5622" w:type="dxa"/>
            <w:noWrap w:val="0"/>
            <w:vAlign w:val="center"/>
          </w:tcPr>
          <w:p>
            <w:pPr>
              <w:widowControl/>
              <w:jc w:val="center"/>
              <w:textAlignment w:val="center"/>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b/>
                <w:bCs/>
                <w:sz w:val="24"/>
                <w:szCs w:val="24"/>
                <w:highlight w:val="none"/>
                <w:lang w:val="en-US" w:eastAsia="zh-CN"/>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686" w:type="dxa"/>
            <w:noWrap w:val="0"/>
            <w:vAlign w:val="center"/>
          </w:tcPr>
          <w:p>
            <w:pPr>
              <w:autoSpaceDE w:val="0"/>
              <w:autoSpaceDN w:val="0"/>
              <w:adjustRightInd w:val="0"/>
              <w:ind w:left="100"/>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净利润</w:t>
            </w:r>
          </w:p>
        </w:tc>
        <w:tc>
          <w:tcPr>
            <w:tcW w:w="5622" w:type="dxa"/>
            <w:noWrap w:val="0"/>
            <w:vAlign w:val="center"/>
          </w:tcPr>
          <w:p>
            <w:pPr>
              <w:widowControl/>
              <w:jc w:val="center"/>
              <w:textAlignment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-489</w:t>
            </w:r>
          </w:p>
        </w:tc>
      </w:tr>
    </w:tbl>
    <w:p>
      <w:pPr>
        <w:autoSpaceDE w:val="0"/>
        <w:autoSpaceDN w:val="0"/>
        <w:adjustRightInd w:val="0"/>
        <w:ind w:firstLine="602" w:firstLineChars="200"/>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position w:val="-3"/>
          <w:sz w:val="30"/>
          <w:szCs w:val="30"/>
          <w:highlight w:val="none"/>
        </w:rPr>
        <w:t>3.2 主要财务指标</w:t>
      </w:r>
    </w:p>
    <w:tbl>
      <w:tblPr>
        <w:tblStyle w:val="3"/>
        <w:tblW w:w="8341" w:type="dxa"/>
        <w:jc w:val="center"/>
        <w:tblLayout w:type="fixed"/>
        <w:tblCellMar>
          <w:top w:w="0" w:type="dxa"/>
          <w:left w:w="0" w:type="dxa"/>
          <w:bottom w:w="0" w:type="dxa"/>
          <w:right w:w="0" w:type="dxa"/>
        </w:tblCellMar>
      </w:tblPr>
      <w:tblGrid>
        <w:gridCol w:w="4365"/>
        <w:gridCol w:w="3976"/>
      </w:tblGrid>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主要财务指标</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202</w:t>
            </w:r>
            <w:r>
              <w:rPr>
                <w:rFonts w:hint="default" w:ascii="Times New Roman" w:hAnsi="Times New Roman" w:eastAsia="仿宋_GB2312" w:cs="Times New Roman"/>
                <w:b/>
                <w:kern w:val="0"/>
                <w:sz w:val="24"/>
                <w:szCs w:val="24"/>
                <w:highlight w:val="none"/>
                <w:lang w:val="en-US"/>
              </w:rPr>
              <w:t>4</w:t>
            </w:r>
            <w:r>
              <w:rPr>
                <w:rFonts w:hint="default" w:ascii="Times New Roman" w:hAnsi="Times New Roman" w:eastAsia="仿宋_GB2312" w:cs="Times New Roman"/>
                <w:b/>
                <w:kern w:val="0"/>
                <w:sz w:val="24"/>
                <w:szCs w:val="24"/>
                <w:highlight w:val="none"/>
              </w:rPr>
              <w:t>年</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基本每股收益（元／股）</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240" w:lineRule="auto"/>
              <w:jc w:val="center"/>
              <w:textAlignment w:val="center"/>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bidi="ar"/>
              </w:rPr>
              <w:t>-0.05</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0"/>
              <w:jc w:val="center"/>
              <w:rPr>
                <w:rFonts w:hint="default" w:ascii="Times New Roman" w:hAnsi="Times New Roman" w:eastAsia="仿宋_GB2312" w:cs="Times New Roman"/>
                <w:kern w:val="0"/>
                <w:position w:val="-2"/>
                <w:sz w:val="24"/>
                <w:szCs w:val="24"/>
                <w:highlight w:val="none"/>
              </w:rPr>
            </w:pPr>
            <w:r>
              <w:rPr>
                <w:rFonts w:hint="default" w:ascii="Times New Roman" w:hAnsi="Times New Roman" w:eastAsia="仿宋_GB2312" w:cs="Times New Roman"/>
                <w:kern w:val="0"/>
                <w:position w:val="-2"/>
                <w:sz w:val="24"/>
                <w:szCs w:val="24"/>
                <w:highlight w:val="none"/>
              </w:rPr>
              <w:t>每股净资产（元／股）</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240" w:lineRule="auto"/>
              <w:jc w:val="center"/>
              <w:textAlignment w:val="center"/>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1.34</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center"/>
              <w:rPr>
                <w:rFonts w:hint="default" w:ascii="Times New Roman" w:hAnsi="Times New Roman" w:eastAsia="仿宋_GB2312" w:cs="Times New Roman"/>
                <w:kern w:val="0"/>
                <w:position w:val="-2"/>
                <w:sz w:val="24"/>
                <w:szCs w:val="24"/>
                <w:highlight w:val="none"/>
              </w:rPr>
            </w:pPr>
            <w:r>
              <w:rPr>
                <w:rFonts w:hint="default" w:ascii="Times New Roman" w:hAnsi="Times New Roman" w:eastAsia="仿宋_GB2312" w:cs="Times New Roman"/>
                <w:kern w:val="0"/>
                <w:position w:val="-2"/>
                <w:sz w:val="24"/>
                <w:szCs w:val="24"/>
                <w:highlight w:val="none"/>
                <w:lang w:eastAsia="zh-CN"/>
              </w:rPr>
              <w:t>净</w:t>
            </w:r>
            <w:r>
              <w:rPr>
                <w:rFonts w:hint="default" w:ascii="Times New Roman" w:hAnsi="Times New Roman" w:eastAsia="仿宋_GB2312" w:cs="Times New Roman"/>
                <w:kern w:val="0"/>
                <w:position w:val="-2"/>
                <w:sz w:val="24"/>
                <w:szCs w:val="24"/>
                <w:highlight w:val="none"/>
              </w:rPr>
              <w:t>资产收益率</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textAlignment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color w:val="auto"/>
                <w:sz w:val="24"/>
                <w:szCs w:val="24"/>
                <w:highlight w:val="none"/>
                <w:lang w:val="en-US" w:eastAsia="zh-CN" w:bidi="ar"/>
              </w:rPr>
              <w:t>-3.59%</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center"/>
              <w:rPr>
                <w:rFonts w:hint="default" w:ascii="Times New Roman" w:hAnsi="Times New Roman" w:eastAsia="仿宋_GB2312" w:cs="Times New Roman"/>
                <w:kern w:val="0"/>
                <w:position w:val="-2"/>
                <w:sz w:val="24"/>
                <w:szCs w:val="24"/>
                <w:highlight w:val="none"/>
              </w:rPr>
            </w:pPr>
            <w:r>
              <w:rPr>
                <w:rFonts w:hint="default" w:ascii="Times New Roman" w:hAnsi="Times New Roman" w:eastAsia="仿宋_GB2312" w:cs="Times New Roman"/>
                <w:kern w:val="0"/>
                <w:position w:val="-2"/>
                <w:sz w:val="24"/>
                <w:szCs w:val="24"/>
                <w:highlight w:val="none"/>
              </w:rPr>
              <w:t>成本收入比</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240" w:lineRule="auto"/>
              <w:jc w:val="center"/>
              <w:textAlignment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lang w:val="en-US" w:eastAsia="zh-CN"/>
              </w:rPr>
              <w:t>109.93%</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0"/>
              <w:jc w:val="center"/>
              <w:rPr>
                <w:rFonts w:hint="default" w:ascii="Times New Roman" w:hAnsi="Times New Roman" w:eastAsia="仿宋_GB2312" w:cs="Times New Roman"/>
                <w:kern w:val="0"/>
                <w:position w:val="-2"/>
                <w:sz w:val="24"/>
                <w:szCs w:val="24"/>
                <w:highlight w:val="none"/>
              </w:rPr>
            </w:pPr>
            <w:r>
              <w:rPr>
                <w:rFonts w:hint="default" w:ascii="Times New Roman" w:hAnsi="Times New Roman" w:eastAsia="仿宋_GB2312" w:cs="Times New Roman"/>
                <w:kern w:val="0"/>
                <w:position w:val="-2"/>
                <w:sz w:val="24"/>
                <w:szCs w:val="24"/>
                <w:highlight w:val="none"/>
                <w:lang w:val="en-US" w:eastAsia="zh-CN"/>
              </w:rPr>
              <w:t>净息差</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i w:val="0"/>
                <w:color w:val="auto"/>
                <w:kern w:val="2"/>
                <w:sz w:val="24"/>
                <w:szCs w:val="24"/>
                <w:highlight w:val="none"/>
                <w:u w:val="none"/>
                <w:lang w:val="en-US" w:eastAsia="zh-CN" w:bidi="ar"/>
              </w:rPr>
              <w:t xml:space="preserve">2.66% </w:t>
            </w:r>
          </w:p>
        </w:tc>
      </w:tr>
    </w:tbl>
    <w:p>
      <w:pPr>
        <w:autoSpaceDE w:val="0"/>
        <w:autoSpaceDN w:val="0"/>
        <w:adjustRightInd w:val="0"/>
        <w:ind w:firstLine="602" w:firstLineChars="200"/>
        <w:rPr>
          <w:rFonts w:hint="default" w:ascii="Times New Roman" w:hAnsi="Times New Roman" w:eastAsia="仿宋_GB2312" w:cs="Times New Roman"/>
          <w:b/>
          <w:kern w:val="0"/>
          <w:position w:val="-3"/>
          <w:sz w:val="30"/>
          <w:szCs w:val="30"/>
          <w:highlight w:val="none"/>
        </w:rPr>
      </w:pPr>
      <w:r>
        <w:rPr>
          <w:rFonts w:hint="default" w:ascii="Times New Roman" w:hAnsi="Times New Roman" w:eastAsia="仿宋_GB2312" w:cs="Times New Roman"/>
          <w:b/>
          <w:kern w:val="0"/>
          <w:position w:val="-3"/>
          <w:sz w:val="30"/>
          <w:szCs w:val="30"/>
          <w:highlight w:val="none"/>
        </w:rPr>
        <w:t>4</w:t>
      </w:r>
      <w:r>
        <w:rPr>
          <w:rFonts w:hint="default" w:ascii="Times New Roman" w:hAnsi="Times New Roman" w:eastAsia="仿宋_GB2312" w:cs="Times New Roman"/>
          <w:b/>
          <w:kern w:val="0"/>
          <w:position w:val="-3"/>
          <w:sz w:val="30"/>
          <w:szCs w:val="30"/>
          <w:highlight w:val="none"/>
          <w:lang w:eastAsia="zh-CN"/>
        </w:rPr>
        <w:t>、</w:t>
      </w:r>
      <w:r>
        <w:rPr>
          <w:rFonts w:hint="default" w:ascii="Times New Roman" w:hAnsi="Times New Roman" w:eastAsia="仿宋_GB2312" w:cs="Times New Roman"/>
          <w:b/>
          <w:kern w:val="0"/>
          <w:position w:val="-3"/>
          <w:sz w:val="30"/>
          <w:szCs w:val="30"/>
          <w:highlight w:val="none"/>
        </w:rPr>
        <w:t>银行业务信息与数据</w:t>
      </w:r>
    </w:p>
    <w:p>
      <w:pPr>
        <w:autoSpaceDE w:val="0"/>
        <w:autoSpaceDN w:val="0"/>
        <w:adjustRightInd w:val="0"/>
        <w:ind w:firstLine="602" w:firstLineChars="200"/>
        <w:rPr>
          <w:rFonts w:hint="default" w:ascii="Times New Roman" w:hAnsi="Times New Roman" w:eastAsia="仿宋_GB2312" w:cs="Times New Roman"/>
          <w:b/>
          <w:kern w:val="0"/>
          <w:position w:val="-3"/>
          <w:sz w:val="30"/>
          <w:szCs w:val="30"/>
          <w:highlight w:val="none"/>
        </w:rPr>
      </w:pPr>
      <w:r>
        <w:rPr>
          <w:rFonts w:hint="default" w:ascii="Times New Roman" w:hAnsi="Times New Roman" w:eastAsia="仿宋_GB2312" w:cs="Times New Roman"/>
          <w:b/>
          <w:kern w:val="0"/>
          <w:position w:val="-3"/>
          <w:sz w:val="30"/>
          <w:szCs w:val="30"/>
          <w:highlight w:val="none"/>
        </w:rPr>
        <w:t>4.1 公司前二年主要财务会计数据</w:t>
      </w:r>
    </w:p>
    <w:p>
      <w:pPr>
        <w:autoSpaceDE w:val="0"/>
        <w:autoSpaceDN w:val="0"/>
        <w:adjustRightInd w:val="0"/>
        <w:ind w:left="122" w:leftChars="58" w:firstLine="413" w:firstLineChars="196"/>
        <w:rPr>
          <w:rFonts w:hint="default" w:ascii="Times New Roman" w:hAnsi="Times New Roman" w:cs="Times New Roman"/>
          <w:b/>
          <w:kern w:val="0"/>
          <w:sz w:val="18"/>
          <w:szCs w:val="18"/>
          <w:highlight w:val="none"/>
        </w:rPr>
      </w:pPr>
      <w:r>
        <w:rPr>
          <w:rFonts w:hint="default" w:ascii="Times New Roman" w:hAnsi="Times New Roman" w:cs="Times New Roman"/>
          <w:b/>
          <w:kern w:val="0"/>
          <w:szCs w:val="21"/>
          <w:highlight w:val="none"/>
        </w:rPr>
        <w:t xml:space="preserve">                                                       </w:t>
      </w:r>
      <w:r>
        <w:rPr>
          <w:rFonts w:hint="default" w:ascii="Times New Roman" w:hAnsi="Times New Roman" w:cs="Times New Roman"/>
          <w:szCs w:val="21"/>
          <w:highlight w:val="none"/>
        </w:rPr>
        <w:t>单位：人民币万元</w:t>
      </w:r>
      <w:r>
        <w:rPr>
          <w:rFonts w:hint="default" w:ascii="Times New Roman" w:hAnsi="Times New Roman" w:cs="Times New Roman"/>
          <w:kern w:val="0"/>
          <w:position w:val="-2"/>
          <w:szCs w:val="21"/>
          <w:highlight w:val="none"/>
        </w:rPr>
        <w:t xml:space="preserve"> </w:t>
      </w:r>
      <w:r>
        <w:rPr>
          <w:rFonts w:hint="default" w:ascii="Times New Roman" w:hAnsi="Times New Roman" w:cs="Times New Roman"/>
          <w:kern w:val="0"/>
          <w:position w:val="-2"/>
          <w:sz w:val="18"/>
          <w:szCs w:val="18"/>
          <w:highlight w:val="none"/>
        </w:rPr>
        <w:t xml:space="preserve">                                                                                                                             </w:t>
      </w:r>
    </w:p>
    <w:tbl>
      <w:tblPr>
        <w:tblStyle w:val="3"/>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2783"/>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项   目</w:t>
            </w:r>
          </w:p>
        </w:tc>
        <w:tc>
          <w:tcPr>
            <w:tcW w:w="2783"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2023年</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资产总额</w:t>
            </w:r>
          </w:p>
        </w:tc>
        <w:tc>
          <w:tcPr>
            <w:tcW w:w="2783"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76353</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96436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负债总额</w:t>
            </w:r>
          </w:p>
        </w:tc>
        <w:tc>
          <w:tcPr>
            <w:tcW w:w="2783"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62483</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83055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股东权益合计</w:t>
            </w:r>
          </w:p>
        </w:tc>
        <w:tc>
          <w:tcPr>
            <w:tcW w:w="2783"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13870</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13381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存款总额</w:t>
            </w:r>
          </w:p>
        </w:tc>
        <w:tc>
          <w:tcPr>
            <w:tcW w:w="2783"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60564</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80460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9" w:type="dxa"/>
            <w:noWrap w:val="0"/>
            <w:vAlign w:val="center"/>
          </w:tcPr>
          <w:p>
            <w:pPr>
              <w:autoSpaceDE w:val="0"/>
              <w:autoSpaceDN w:val="0"/>
              <w:adjustRightInd w:val="0"/>
              <w:ind w:left="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贷款总额</w:t>
            </w:r>
          </w:p>
        </w:tc>
        <w:tc>
          <w:tcPr>
            <w:tcW w:w="2783"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51797</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kern w:val="0"/>
                <w:position w:val="-2"/>
                <w:sz w:val="24"/>
                <w:szCs w:val="24"/>
                <w:highlight w:val="none"/>
                <w:lang w:val="en-US" w:eastAsia="zh-CN"/>
              </w:rPr>
            </w:pPr>
            <w:r>
              <w:rPr>
                <w:rFonts w:hint="default" w:ascii="Times New Roman" w:hAnsi="Times New Roman" w:eastAsia="仿宋_GB2312" w:cs="Times New Roman"/>
                <w:kern w:val="0"/>
                <w:position w:val="-2"/>
                <w:sz w:val="24"/>
                <w:szCs w:val="24"/>
                <w:highlight w:val="none"/>
                <w:lang w:val="en-US" w:eastAsia="zh-CN"/>
              </w:rPr>
              <w:t>60444</w:t>
            </w:r>
          </w:p>
        </w:tc>
      </w:tr>
    </w:tbl>
    <w:p>
      <w:pPr>
        <w:autoSpaceDE w:val="0"/>
        <w:autoSpaceDN w:val="0"/>
        <w:adjustRightInd w:val="0"/>
        <w:ind w:firstLine="413" w:firstLineChars="196"/>
        <w:rPr>
          <w:rFonts w:hint="default" w:ascii="Times New Roman" w:hAnsi="Times New Roman" w:cs="Times New Roman"/>
          <w:b/>
          <w:kern w:val="0"/>
          <w:szCs w:val="21"/>
          <w:highlight w:val="none"/>
        </w:rPr>
      </w:pPr>
    </w:p>
    <w:p>
      <w:pPr>
        <w:autoSpaceDE w:val="0"/>
        <w:autoSpaceDN w:val="0"/>
        <w:adjustRightInd w:val="0"/>
        <w:ind w:firstLine="590" w:firstLineChars="196"/>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4.2 公司前二年资本充足率数据</w:t>
      </w:r>
    </w:p>
    <w:p>
      <w:pPr>
        <w:autoSpaceDE w:val="0"/>
        <w:autoSpaceDN w:val="0"/>
        <w:adjustRightInd w:val="0"/>
        <w:ind w:firstLine="422" w:firstLineChars="200"/>
        <w:rPr>
          <w:rFonts w:hint="default" w:ascii="Times New Roman" w:hAnsi="Times New Roman" w:cs="Times New Roman"/>
          <w:b/>
          <w:kern w:val="0"/>
          <w:position w:val="-3"/>
          <w:sz w:val="18"/>
          <w:szCs w:val="18"/>
          <w:highlight w:val="none"/>
        </w:rPr>
      </w:pPr>
      <w:r>
        <w:rPr>
          <w:rFonts w:hint="default" w:ascii="Times New Roman" w:hAnsi="Times New Roman" w:cs="Times New Roman"/>
          <w:b/>
          <w:kern w:val="0"/>
          <w:szCs w:val="21"/>
          <w:highlight w:val="none"/>
        </w:rPr>
        <w:t xml:space="preserve">                                                       </w:t>
      </w:r>
      <w:r>
        <w:rPr>
          <w:rFonts w:hint="default" w:ascii="Times New Roman" w:hAnsi="Times New Roman" w:cs="Times New Roman"/>
          <w:szCs w:val="21"/>
          <w:highlight w:val="none"/>
        </w:rPr>
        <w:t>单位：人民币万元</w:t>
      </w:r>
    </w:p>
    <w:tbl>
      <w:tblPr>
        <w:tblStyle w:val="3"/>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3"/>
        <w:gridCol w:w="2393"/>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jc w:val="center"/>
              <w:rPr>
                <w:rFonts w:hint="default" w:ascii="Times New Roman" w:hAnsi="Times New Roman" w:eastAsia="仿宋_GB2312" w:cs="Times New Roman"/>
                <w:b/>
                <w:spacing w:val="1"/>
                <w:kern w:val="0"/>
                <w:position w:val="-2"/>
                <w:sz w:val="24"/>
                <w:szCs w:val="24"/>
                <w:highlight w:val="none"/>
              </w:rPr>
            </w:pPr>
            <w:r>
              <w:rPr>
                <w:rFonts w:hint="default" w:ascii="Times New Roman" w:hAnsi="Times New Roman" w:eastAsia="仿宋_GB2312" w:cs="Times New Roman"/>
                <w:b/>
                <w:spacing w:val="1"/>
                <w:kern w:val="0"/>
                <w:position w:val="-2"/>
                <w:sz w:val="24"/>
                <w:szCs w:val="24"/>
                <w:highlight w:val="none"/>
              </w:rPr>
              <w:t>项   目</w:t>
            </w:r>
          </w:p>
        </w:tc>
        <w:tc>
          <w:tcPr>
            <w:tcW w:w="2393" w:type="dxa"/>
            <w:noWrap w:val="0"/>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202</w:t>
            </w:r>
            <w:r>
              <w:rPr>
                <w:rFonts w:hint="default" w:ascii="Times New Roman" w:hAnsi="Times New Roman" w:eastAsia="仿宋_GB2312" w:cs="Times New Roman"/>
                <w:b/>
                <w:sz w:val="24"/>
                <w:szCs w:val="24"/>
                <w:highlight w:val="none"/>
                <w:lang w:val="en-US" w:eastAsia="zh-CN"/>
              </w:rPr>
              <w:t>3</w:t>
            </w:r>
            <w:r>
              <w:rPr>
                <w:rFonts w:hint="default" w:ascii="Times New Roman" w:hAnsi="Times New Roman" w:eastAsia="仿宋_GB2312" w:cs="Times New Roman"/>
                <w:b/>
                <w:sz w:val="24"/>
                <w:szCs w:val="24"/>
                <w:highlight w:val="none"/>
              </w:rPr>
              <w:t>年</w:t>
            </w:r>
          </w:p>
        </w:tc>
        <w:tc>
          <w:tcPr>
            <w:tcW w:w="2442" w:type="dxa"/>
            <w:noWrap w:val="0"/>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202</w:t>
            </w:r>
            <w:r>
              <w:rPr>
                <w:rFonts w:hint="default" w:ascii="Times New Roman" w:hAnsi="Times New Roman" w:eastAsia="仿宋_GB2312" w:cs="Times New Roman"/>
                <w:b/>
                <w:sz w:val="24"/>
                <w:szCs w:val="24"/>
                <w:highlight w:val="none"/>
                <w:lang w:val="en-US" w:eastAsia="zh-CN"/>
              </w:rPr>
              <w:t>4</w:t>
            </w:r>
            <w:r>
              <w:rPr>
                <w:rFonts w:hint="default" w:ascii="Times New Roman" w:hAnsi="Times New Roman" w:eastAsia="仿宋_GB2312" w:cs="Times New Roman"/>
                <w:b/>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ind w:left="100"/>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pacing w:val="1"/>
                <w:kern w:val="0"/>
                <w:position w:val="-2"/>
                <w:sz w:val="24"/>
                <w:szCs w:val="24"/>
                <w:highlight w:val="none"/>
              </w:rPr>
              <w:t>资本净额</w:t>
            </w:r>
          </w:p>
        </w:tc>
        <w:tc>
          <w:tcPr>
            <w:tcW w:w="2393" w:type="dxa"/>
            <w:noWrap w:val="0"/>
            <w:vAlign w:val="center"/>
          </w:tcPr>
          <w:p>
            <w:pPr>
              <w:spacing w:line="32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color w:val="000000"/>
                <w:kern w:val="0"/>
                <w:sz w:val="24"/>
                <w:szCs w:val="24"/>
                <w:highlight w:val="none"/>
                <w:lang w:bidi="ar"/>
              </w:rPr>
              <w:t xml:space="preserve"> 14,128.50</w:t>
            </w:r>
          </w:p>
        </w:tc>
        <w:tc>
          <w:tcPr>
            <w:tcW w:w="2442" w:type="dxa"/>
            <w:noWrap w:val="0"/>
            <w:vAlign w:val="center"/>
          </w:tcPr>
          <w:p>
            <w:pPr>
              <w:spacing w:line="320" w:lineRule="exact"/>
              <w:jc w:val="center"/>
              <w:rPr>
                <w:rFonts w:hint="default" w:ascii="Times New Roman" w:hAnsi="Times New Roman" w:eastAsia="仿宋_GB2312" w:cs="Times New Roman"/>
                <w:bCs w:val="0"/>
                <w:color w:val="000000"/>
                <w:kern w:val="0"/>
                <w:sz w:val="24"/>
                <w:szCs w:val="24"/>
                <w:highlight w:val="none"/>
                <w:lang w:bidi="ar"/>
              </w:rPr>
            </w:pPr>
            <w:r>
              <w:rPr>
                <w:rFonts w:hint="default" w:ascii="Times New Roman" w:hAnsi="Times New Roman" w:eastAsia="仿宋_GB2312" w:cs="Times New Roman"/>
                <w:bCs w:val="0"/>
                <w:color w:val="000000"/>
                <w:kern w:val="0"/>
                <w:sz w:val="24"/>
                <w:szCs w:val="24"/>
                <w:highlight w:val="none"/>
                <w:lang w:val="en-US" w:eastAsia="zh-CN" w:bidi="ar"/>
              </w:rPr>
              <w:t xml:space="preserve"> 14,259.13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ind w:left="100"/>
              <w:jc w:val="center"/>
              <w:rPr>
                <w:rFonts w:hint="default" w:ascii="Times New Roman" w:hAnsi="Times New Roman" w:eastAsia="仿宋_GB2312" w:cs="Times New Roman"/>
                <w:spacing w:val="1"/>
                <w:kern w:val="0"/>
                <w:position w:val="-2"/>
                <w:sz w:val="24"/>
                <w:szCs w:val="24"/>
                <w:highlight w:val="none"/>
              </w:rPr>
            </w:pPr>
            <w:r>
              <w:rPr>
                <w:rFonts w:hint="default" w:ascii="Times New Roman" w:hAnsi="Times New Roman" w:eastAsia="仿宋_GB2312" w:cs="Times New Roman"/>
                <w:spacing w:val="1"/>
                <w:kern w:val="0"/>
                <w:position w:val="-2"/>
                <w:sz w:val="24"/>
                <w:szCs w:val="24"/>
                <w:highlight w:val="none"/>
              </w:rPr>
              <w:t>一级资本净额</w:t>
            </w:r>
          </w:p>
        </w:tc>
        <w:tc>
          <w:tcPr>
            <w:tcW w:w="2393" w:type="dxa"/>
            <w:noWrap w:val="0"/>
            <w:vAlign w:val="top"/>
          </w:tcPr>
          <w:p>
            <w:pPr>
              <w:widowControl/>
              <w:tabs>
                <w:tab w:val="center" w:pos="591"/>
                <w:tab w:val="right" w:pos="1183"/>
              </w:tabs>
              <w:adjustRightInd/>
              <w:snapToGrid/>
              <w:spacing w:line="320" w:lineRule="exact"/>
              <w:jc w:val="center"/>
              <w:rPr>
                <w:rFonts w:hint="default" w:ascii="Times New Roman" w:hAnsi="Times New Roman" w:eastAsia="仿宋_GB2312" w:cs="Times New Roman"/>
                <w:bCs/>
                <w:sz w:val="24"/>
                <w:szCs w:val="24"/>
                <w:highlight w:val="none"/>
                <w:lang w:val="en-US"/>
              </w:rPr>
            </w:pPr>
            <w:r>
              <w:rPr>
                <w:rFonts w:hint="default" w:ascii="Times New Roman" w:hAnsi="Times New Roman" w:eastAsia="仿宋_GB2312" w:cs="Times New Roman"/>
                <w:color w:val="000000"/>
                <w:kern w:val="0"/>
                <w:sz w:val="24"/>
                <w:szCs w:val="24"/>
                <w:highlight w:val="none"/>
                <w:lang w:bidi="ar"/>
              </w:rPr>
              <w:t xml:space="preserve"> 13,870.00 </w:t>
            </w:r>
          </w:p>
        </w:tc>
        <w:tc>
          <w:tcPr>
            <w:tcW w:w="2442" w:type="dxa"/>
            <w:noWrap w:val="0"/>
            <w:vAlign w:val="top"/>
          </w:tcPr>
          <w:p>
            <w:pPr>
              <w:widowControl/>
              <w:tabs>
                <w:tab w:val="center" w:pos="591"/>
                <w:tab w:val="right" w:pos="1183"/>
              </w:tabs>
              <w:adjustRightInd/>
              <w:snapToGrid/>
              <w:spacing w:line="320" w:lineRule="exact"/>
              <w:jc w:val="center"/>
              <w:rPr>
                <w:rFonts w:hint="default" w:ascii="Times New Roman" w:hAnsi="Times New Roman" w:eastAsia="仿宋_GB2312" w:cs="Times New Roman"/>
                <w:bCs w:val="0"/>
                <w:color w:val="000000"/>
                <w:kern w:val="0"/>
                <w:sz w:val="24"/>
                <w:szCs w:val="24"/>
                <w:highlight w:val="none"/>
                <w:lang w:bidi="ar"/>
              </w:rPr>
            </w:pPr>
            <w:r>
              <w:rPr>
                <w:rFonts w:hint="default" w:ascii="Times New Roman" w:hAnsi="Times New Roman" w:eastAsia="仿宋_GB2312" w:cs="Times New Roman"/>
                <w:bCs w:val="0"/>
                <w:color w:val="000000"/>
                <w:kern w:val="0"/>
                <w:sz w:val="24"/>
                <w:szCs w:val="24"/>
                <w:highlight w:val="none"/>
                <w:lang w:val="en-US" w:eastAsia="zh-CN" w:bidi="ar"/>
              </w:rPr>
              <w:t xml:space="preserve"> 13,380.89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ind w:left="100"/>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pacing w:val="1"/>
                <w:kern w:val="0"/>
                <w:position w:val="-2"/>
                <w:sz w:val="24"/>
                <w:szCs w:val="24"/>
                <w:highlight w:val="none"/>
              </w:rPr>
              <w:t>核心一级资本净额</w:t>
            </w:r>
          </w:p>
        </w:tc>
        <w:tc>
          <w:tcPr>
            <w:tcW w:w="2393" w:type="dxa"/>
            <w:noWrap w:val="0"/>
            <w:vAlign w:val="top"/>
          </w:tcPr>
          <w:p>
            <w:pPr>
              <w:widowControl/>
              <w:tabs>
                <w:tab w:val="center" w:pos="591"/>
                <w:tab w:val="right" w:pos="1183"/>
              </w:tabs>
              <w:adjustRightInd/>
              <w:snapToGrid/>
              <w:spacing w:line="32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color w:val="000000"/>
                <w:kern w:val="0"/>
                <w:sz w:val="24"/>
                <w:szCs w:val="24"/>
                <w:highlight w:val="none"/>
                <w:lang w:bidi="ar"/>
              </w:rPr>
              <w:t xml:space="preserve"> 13,870.00 </w:t>
            </w:r>
          </w:p>
        </w:tc>
        <w:tc>
          <w:tcPr>
            <w:tcW w:w="2442" w:type="dxa"/>
            <w:noWrap w:val="0"/>
            <w:vAlign w:val="top"/>
          </w:tcPr>
          <w:p>
            <w:pPr>
              <w:widowControl/>
              <w:tabs>
                <w:tab w:val="center" w:pos="591"/>
                <w:tab w:val="right" w:pos="1183"/>
              </w:tabs>
              <w:adjustRightInd/>
              <w:snapToGrid/>
              <w:spacing w:line="320" w:lineRule="exact"/>
              <w:jc w:val="center"/>
              <w:rPr>
                <w:rFonts w:hint="default" w:ascii="Times New Roman" w:hAnsi="Times New Roman" w:eastAsia="仿宋_GB2312" w:cs="Times New Roman"/>
                <w:bCs w:val="0"/>
                <w:color w:val="000000"/>
                <w:kern w:val="0"/>
                <w:sz w:val="24"/>
                <w:szCs w:val="24"/>
                <w:highlight w:val="none"/>
                <w:lang w:bidi="ar"/>
              </w:rPr>
            </w:pPr>
            <w:r>
              <w:rPr>
                <w:rFonts w:hint="default" w:ascii="Times New Roman" w:hAnsi="Times New Roman" w:eastAsia="仿宋_GB2312" w:cs="Times New Roman"/>
                <w:bCs w:val="0"/>
                <w:color w:val="000000"/>
                <w:kern w:val="0"/>
                <w:sz w:val="24"/>
                <w:szCs w:val="24"/>
                <w:highlight w:val="none"/>
                <w:lang w:val="en-US" w:eastAsia="zh-CN" w:bidi="ar"/>
              </w:rPr>
              <w:t xml:space="preserve"> 13,380.89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jc w:val="center"/>
              <w:rPr>
                <w:rFonts w:hint="default" w:ascii="Times New Roman" w:hAnsi="Times New Roman" w:eastAsia="仿宋_GB2312" w:cs="Times New Roman"/>
                <w:kern w:val="0"/>
                <w:position w:val="-2"/>
                <w:sz w:val="24"/>
                <w:szCs w:val="24"/>
                <w:highlight w:val="none"/>
              </w:rPr>
            </w:pPr>
            <w:r>
              <w:rPr>
                <w:rFonts w:hint="default" w:ascii="Times New Roman" w:hAnsi="Times New Roman" w:eastAsia="仿宋_GB2312" w:cs="Times New Roman"/>
                <w:kern w:val="0"/>
                <w:position w:val="-2"/>
                <w:sz w:val="24"/>
                <w:szCs w:val="24"/>
                <w:highlight w:val="none"/>
              </w:rPr>
              <w:t>风险加权资产总额</w:t>
            </w:r>
          </w:p>
        </w:tc>
        <w:tc>
          <w:tcPr>
            <w:tcW w:w="2393" w:type="dxa"/>
            <w:noWrap w:val="0"/>
            <w:vAlign w:val="center"/>
          </w:tcPr>
          <w:p>
            <w:pPr>
              <w:spacing w:line="32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color w:val="000000"/>
                <w:kern w:val="0"/>
                <w:sz w:val="24"/>
                <w:szCs w:val="24"/>
                <w:highlight w:val="none"/>
                <w:lang w:bidi="ar"/>
              </w:rPr>
              <w:t xml:space="preserve"> 50,553.88 </w:t>
            </w:r>
          </w:p>
        </w:tc>
        <w:tc>
          <w:tcPr>
            <w:tcW w:w="2442" w:type="dxa"/>
            <w:noWrap w:val="0"/>
            <w:vAlign w:val="center"/>
          </w:tcPr>
          <w:p>
            <w:pPr>
              <w:spacing w:line="320" w:lineRule="exact"/>
              <w:jc w:val="center"/>
              <w:rPr>
                <w:rFonts w:hint="default" w:ascii="Times New Roman" w:hAnsi="Times New Roman" w:eastAsia="仿宋_GB2312" w:cs="Times New Roman"/>
                <w:bCs w:val="0"/>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val="en-US" w:eastAsia="zh-CN" w:bidi="ar"/>
              </w:rPr>
              <w:t xml:space="preserve"> 56,767.20</w:t>
            </w:r>
            <w:r>
              <w:rPr>
                <w:rFonts w:hint="default" w:ascii="Times New Roman" w:hAnsi="Times New Roman" w:eastAsia="仿宋_GB2312" w:cs="Times New Roman"/>
                <w:color w:val="000000"/>
                <w:kern w:val="0"/>
                <w:sz w:val="24"/>
                <w:szCs w:val="24"/>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资本充足率</w:t>
            </w:r>
          </w:p>
        </w:tc>
        <w:tc>
          <w:tcPr>
            <w:tcW w:w="2393" w:type="dxa"/>
            <w:noWrap w:val="0"/>
            <w:vAlign w:val="center"/>
          </w:tcPr>
          <w:p>
            <w:pPr>
              <w:spacing w:line="32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color w:val="000000"/>
                <w:kern w:val="0"/>
                <w:sz w:val="24"/>
                <w:szCs w:val="24"/>
                <w:highlight w:val="none"/>
                <w:lang w:bidi="ar"/>
              </w:rPr>
              <w:t>27.9474%</w:t>
            </w:r>
          </w:p>
        </w:tc>
        <w:tc>
          <w:tcPr>
            <w:tcW w:w="2442" w:type="dxa"/>
            <w:noWrap w:val="0"/>
            <w:vAlign w:val="center"/>
          </w:tcPr>
          <w:p>
            <w:pPr>
              <w:spacing w:line="320" w:lineRule="exact"/>
              <w:jc w:val="center"/>
              <w:rPr>
                <w:rFonts w:hint="default" w:ascii="Times New Roman" w:hAnsi="Times New Roman" w:eastAsia="仿宋_GB2312" w:cs="Times New Roman"/>
                <w:bCs w:val="0"/>
                <w:color w:val="000000"/>
                <w:kern w:val="0"/>
                <w:sz w:val="24"/>
                <w:szCs w:val="24"/>
                <w:highlight w:val="none"/>
                <w:lang w:bidi="ar"/>
              </w:rPr>
            </w:pPr>
            <w:r>
              <w:rPr>
                <w:rFonts w:hint="default" w:ascii="Times New Roman" w:hAnsi="Times New Roman" w:eastAsia="仿宋_GB2312" w:cs="Times New Roman"/>
                <w:bCs w:val="0"/>
                <w:color w:val="000000"/>
                <w:kern w:val="0"/>
                <w:sz w:val="24"/>
                <w:szCs w:val="24"/>
                <w:highlight w:val="none"/>
                <w:lang w:val="en-US" w:eastAsia="zh-CN" w:bidi="ar"/>
              </w:rPr>
              <w:t>25.1186%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一级资本充足率</w:t>
            </w:r>
          </w:p>
        </w:tc>
        <w:tc>
          <w:tcPr>
            <w:tcW w:w="2393" w:type="dxa"/>
            <w:noWrap w:val="0"/>
            <w:vAlign w:val="center"/>
          </w:tcPr>
          <w:p>
            <w:pPr>
              <w:spacing w:line="32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color w:val="000000"/>
                <w:kern w:val="0"/>
                <w:sz w:val="24"/>
                <w:szCs w:val="24"/>
                <w:highlight w:val="none"/>
                <w:lang w:bidi="ar"/>
              </w:rPr>
              <w:t>27.4361%</w:t>
            </w:r>
          </w:p>
        </w:tc>
        <w:tc>
          <w:tcPr>
            <w:tcW w:w="2442" w:type="dxa"/>
            <w:noWrap w:val="0"/>
            <w:vAlign w:val="center"/>
          </w:tcPr>
          <w:p>
            <w:pPr>
              <w:spacing w:line="320" w:lineRule="exact"/>
              <w:jc w:val="center"/>
              <w:rPr>
                <w:rFonts w:hint="default" w:ascii="Times New Roman" w:hAnsi="Times New Roman" w:eastAsia="仿宋_GB2312" w:cs="Times New Roman"/>
                <w:bCs w:val="0"/>
                <w:color w:val="000000"/>
                <w:kern w:val="0"/>
                <w:sz w:val="24"/>
                <w:szCs w:val="24"/>
                <w:highlight w:val="none"/>
                <w:lang w:bidi="ar"/>
              </w:rPr>
            </w:pPr>
            <w:r>
              <w:rPr>
                <w:rFonts w:hint="default" w:ascii="Times New Roman" w:hAnsi="Times New Roman" w:eastAsia="仿宋_GB2312" w:cs="Times New Roman"/>
                <w:bCs w:val="0"/>
                <w:color w:val="000000"/>
                <w:kern w:val="0"/>
                <w:sz w:val="24"/>
                <w:szCs w:val="24"/>
                <w:highlight w:val="none"/>
                <w:lang w:val="en-US" w:eastAsia="zh-CN" w:bidi="ar"/>
              </w:rPr>
              <w:t>23.5715%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核心一级资本充足率</w:t>
            </w:r>
          </w:p>
        </w:tc>
        <w:tc>
          <w:tcPr>
            <w:tcW w:w="2393" w:type="dxa"/>
            <w:noWrap w:val="0"/>
            <w:vAlign w:val="center"/>
          </w:tcPr>
          <w:p>
            <w:pPr>
              <w:spacing w:line="32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color w:val="000000"/>
                <w:kern w:val="0"/>
                <w:sz w:val="24"/>
                <w:szCs w:val="24"/>
                <w:highlight w:val="none"/>
                <w:lang w:bidi="ar"/>
              </w:rPr>
              <w:t>27.4361%</w:t>
            </w:r>
          </w:p>
        </w:tc>
        <w:tc>
          <w:tcPr>
            <w:tcW w:w="2442" w:type="dxa"/>
            <w:noWrap w:val="0"/>
            <w:vAlign w:val="center"/>
          </w:tcPr>
          <w:p>
            <w:pPr>
              <w:spacing w:line="320" w:lineRule="exact"/>
              <w:jc w:val="center"/>
              <w:rPr>
                <w:rFonts w:hint="default" w:ascii="Times New Roman" w:hAnsi="Times New Roman" w:eastAsia="仿宋_GB2312" w:cs="Times New Roman"/>
                <w:bCs w:val="0"/>
                <w:color w:val="000000"/>
                <w:kern w:val="0"/>
                <w:sz w:val="24"/>
                <w:szCs w:val="24"/>
                <w:highlight w:val="none"/>
                <w:lang w:bidi="ar"/>
              </w:rPr>
            </w:pPr>
            <w:r>
              <w:rPr>
                <w:rFonts w:hint="default" w:ascii="Times New Roman" w:hAnsi="Times New Roman" w:eastAsia="仿宋_GB2312" w:cs="Times New Roman"/>
                <w:bCs w:val="0"/>
                <w:color w:val="000000"/>
                <w:kern w:val="0"/>
                <w:sz w:val="24"/>
                <w:szCs w:val="24"/>
                <w:highlight w:val="none"/>
                <w:lang w:val="en-US" w:eastAsia="zh-CN" w:bidi="ar"/>
              </w:rPr>
              <w:t>23.5715%</w:t>
            </w:r>
          </w:p>
        </w:tc>
      </w:tr>
    </w:tbl>
    <w:p>
      <w:pPr>
        <w:autoSpaceDE w:val="0"/>
        <w:autoSpaceDN w:val="0"/>
        <w:adjustRightInd w:val="0"/>
        <w:ind w:firstLine="482" w:firstLineChars="2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b/>
          <w:kern w:val="0"/>
          <w:position w:val="-3"/>
          <w:sz w:val="24"/>
          <w:szCs w:val="24"/>
          <w:highlight w:val="none"/>
        </w:rPr>
        <w:t>注：</w:t>
      </w:r>
      <w:r>
        <w:rPr>
          <w:rFonts w:hint="default" w:ascii="Times New Roman" w:hAnsi="Times New Roman" w:eastAsia="仿宋_GB2312" w:cs="Times New Roman"/>
          <w:kern w:val="0"/>
          <w:sz w:val="24"/>
          <w:szCs w:val="24"/>
          <w:highlight w:val="none"/>
        </w:rPr>
        <w:t>根据中国银行业监督管理委员会2012年6月颁布的《商业银行资本管理办法（试行）》计量资本充足率相关数据指标。</w:t>
      </w:r>
    </w:p>
    <w:p>
      <w:pPr>
        <w:autoSpaceDE w:val="0"/>
        <w:autoSpaceDN w:val="0"/>
        <w:adjustRightInd w:val="0"/>
        <w:ind w:firstLine="420" w:firstLineChars="200"/>
        <w:rPr>
          <w:rFonts w:hint="default" w:ascii="Times New Roman" w:hAnsi="Times New Roman" w:cs="Times New Roman"/>
          <w:kern w:val="0"/>
          <w:szCs w:val="21"/>
          <w:highlight w:val="none"/>
        </w:rPr>
      </w:pPr>
    </w:p>
    <w:p>
      <w:pPr>
        <w:autoSpaceDE w:val="0"/>
        <w:autoSpaceDN w:val="0"/>
        <w:adjustRightInd w:val="0"/>
        <w:ind w:firstLine="590" w:firstLineChars="196"/>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4.3 公司前二年主要合规指标</w:t>
      </w:r>
    </w:p>
    <w:tbl>
      <w:tblPr>
        <w:tblStyle w:val="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4"/>
        <w:gridCol w:w="1568"/>
        <w:gridCol w:w="173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  目</w:t>
            </w:r>
          </w:p>
        </w:tc>
        <w:tc>
          <w:tcPr>
            <w:tcW w:w="1568"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监管指标</w:t>
            </w:r>
          </w:p>
        </w:tc>
        <w:tc>
          <w:tcPr>
            <w:tcW w:w="1735"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年</w:t>
            </w:r>
          </w:p>
        </w:tc>
        <w:tc>
          <w:tcPr>
            <w:tcW w:w="1737"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w:t>
            </w: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流动性比率</w:t>
            </w:r>
          </w:p>
        </w:tc>
        <w:tc>
          <w:tcPr>
            <w:tcW w:w="1568"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≥25％</w:t>
            </w:r>
          </w:p>
        </w:tc>
        <w:tc>
          <w:tcPr>
            <w:tcW w:w="1735"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 xml:space="preserve">55.23% </w:t>
            </w:r>
          </w:p>
        </w:tc>
        <w:tc>
          <w:tcPr>
            <w:tcW w:w="1737"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 xml:space="preserve">97.52%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存贷比</w:t>
            </w:r>
          </w:p>
        </w:tc>
        <w:tc>
          <w:tcPr>
            <w:tcW w:w="1568"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＞50％</w:t>
            </w:r>
          </w:p>
        </w:tc>
        <w:tc>
          <w:tcPr>
            <w:tcW w:w="1735"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 xml:space="preserve">85.52% </w:t>
            </w:r>
          </w:p>
        </w:tc>
        <w:tc>
          <w:tcPr>
            <w:tcW w:w="1737"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 xml:space="preserve">75.12%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拨备覆盖率</w:t>
            </w:r>
          </w:p>
        </w:tc>
        <w:tc>
          <w:tcPr>
            <w:tcW w:w="1568"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≥150％</w:t>
            </w:r>
          </w:p>
        </w:tc>
        <w:tc>
          <w:tcPr>
            <w:tcW w:w="1735"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 xml:space="preserve">155.33% </w:t>
            </w:r>
          </w:p>
        </w:tc>
        <w:tc>
          <w:tcPr>
            <w:tcW w:w="1737"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 xml:space="preserve">155.22%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贷款拨备率</w:t>
            </w:r>
          </w:p>
        </w:tc>
        <w:tc>
          <w:tcPr>
            <w:tcW w:w="1568"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≥2.5%</w:t>
            </w:r>
          </w:p>
        </w:tc>
        <w:tc>
          <w:tcPr>
            <w:tcW w:w="1735"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 xml:space="preserve">4.17% </w:t>
            </w:r>
          </w:p>
        </w:tc>
        <w:tc>
          <w:tcPr>
            <w:tcW w:w="1737"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 xml:space="preserve">4.04%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单一最大客户贷款比例</w:t>
            </w:r>
          </w:p>
        </w:tc>
        <w:tc>
          <w:tcPr>
            <w:tcW w:w="1568"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w:t>
            </w:r>
          </w:p>
        </w:tc>
        <w:tc>
          <w:tcPr>
            <w:tcW w:w="1735"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rPr>
              <w:t>6.48%</w:t>
            </w:r>
          </w:p>
        </w:tc>
        <w:tc>
          <w:tcPr>
            <w:tcW w:w="1737"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rPr>
              <w:t>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54"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单一最大集团客户授信比</w:t>
            </w:r>
          </w:p>
        </w:tc>
        <w:tc>
          <w:tcPr>
            <w:tcW w:w="1568"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≤15％</w:t>
            </w:r>
          </w:p>
        </w:tc>
        <w:tc>
          <w:tcPr>
            <w:tcW w:w="1735"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rPr>
              <w:t>12.31%</w:t>
            </w:r>
          </w:p>
        </w:tc>
        <w:tc>
          <w:tcPr>
            <w:tcW w:w="1737"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rPr>
              <w:t>13.50%</w:t>
            </w:r>
          </w:p>
        </w:tc>
      </w:tr>
    </w:tbl>
    <w:p>
      <w:pPr>
        <w:autoSpaceDE w:val="0"/>
        <w:autoSpaceDN w:val="0"/>
        <w:adjustRightInd w:val="0"/>
        <w:ind w:firstLine="422" w:firstLineChars="200"/>
        <w:rPr>
          <w:rFonts w:hint="default" w:ascii="Times New Roman" w:hAnsi="Times New Roman" w:cs="Times New Roman"/>
          <w:b/>
          <w:kern w:val="0"/>
          <w:position w:val="-3"/>
          <w:szCs w:val="21"/>
          <w:highlight w:val="none"/>
        </w:rPr>
      </w:pPr>
    </w:p>
    <w:p>
      <w:pPr>
        <w:autoSpaceDE w:val="0"/>
        <w:autoSpaceDN w:val="0"/>
        <w:adjustRightInd w:val="0"/>
        <w:ind w:firstLine="602" w:firstLineChars="200"/>
        <w:rPr>
          <w:rFonts w:hint="default" w:ascii="Times New Roman" w:hAnsi="Times New Roman" w:eastAsia="仿宋_GB2312" w:cs="Times New Roman"/>
          <w:b/>
          <w:kern w:val="0"/>
          <w:position w:val="-3"/>
          <w:sz w:val="30"/>
          <w:szCs w:val="30"/>
          <w:highlight w:val="none"/>
          <w:lang w:eastAsia="zh-CN"/>
        </w:rPr>
      </w:pPr>
      <w:r>
        <w:rPr>
          <w:rFonts w:hint="default" w:ascii="Times New Roman" w:hAnsi="Times New Roman" w:eastAsia="仿宋_GB2312" w:cs="Times New Roman"/>
          <w:b/>
          <w:kern w:val="0"/>
          <w:position w:val="-3"/>
          <w:sz w:val="30"/>
          <w:szCs w:val="30"/>
          <w:highlight w:val="none"/>
        </w:rPr>
        <w:t>4.4 贷款投放情况</w:t>
      </w:r>
    </w:p>
    <w:p>
      <w:pPr>
        <w:autoSpaceDE w:val="0"/>
        <w:autoSpaceDN w:val="0"/>
        <w:adjustRightInd w:val="0"/>
        <w:ind w:firstLine="602" w:firstLineChars="200"/>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sz w:val="30"/>
          <w:szCs w:val="30"/>
          <w:highlight w:val="none"/>
        </w:rPr>
        <w:t>4.4.1  贷款行业分布情况</w:t>
      </w:r>
    </w:p>
    <w:p>
      <w:pPr>
        <w:autoSpaceDE w:val="0"/>
        <w:autoSpaceDN w:val="0"/>
        <w:adjustRightInd w:val="0"/>
        <w:ind w:firstLine="6300" w:firstLineChars="3000"/>
        <w:rPr>
          <w:rFonts w:hint="default" w:ascii="Times New Roman" w:hAnsi="Times New Roman" w:cs="Times New Roman"/>
          <w:kern w:val="0"/>
          <w:position w:val="-3"/>
          <w:szCs w:val="21"/>
          <w:highlight w:val="none"/>
        </w:rPr>
      </w:pPr>
      <w:r>
        <w:rPr>
          <w:rFonts w:hint="default" w:ascii="Times New Roman" w:hAnsi="Times New Roman" w:cs="Times New Roman"/>
          <w:szCs w:val="21"/>
          <w:highlight w:val="none"/>
        </w:rPr>
        <w:t>单位：人民币万元</w:t>
      </w:r>
    </w:p>
    <w:tbl>
      <w:tblPr>
        <w:tblStyle w:val="3"/>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84"/>
        <w:gridCol w:w="1000"/>
        <w:gridCol w:w="128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486" w:type="dxa"/>
            <w:vMerge w:val="restart"/>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  业</w:t>
            </w:r>
          </w:p>
        </w:tc>
        <w:tc>
          <w:tcPr>
            <w:tcW w:w="2284" w:type="dxa"/>
            <w:gridSpan w:val="2"/>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年12月31日</w:t>
            </w:r>
          </w:p>
        </w:tc>
        <w:tc>
          <w:tcPr>
            <w:tcW w:w="2570" w:type="dxa"/>
            <w:gridSpan w:val="2"/>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w:t>
            </w: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486" w:type="dxa"/>
            <w:vMerge w:val="continue"/>
            <w:noWrap w:val="0"/>
            <w:vAlign w:val="center"/>
          </w:tcPr>
          <w:p>
            <w:pPr>
              <w:jc w:val="center"/>
              <w:rPr>
                <w:rFonts w:hint="default" w:ascii="Times New Roman" w:hAnsi="Times New Roman" w:eastAsia="仿宋_GB2312" w:cs="Times New Roman"/>
                <w:sz w:val="24"/>
                <w:szCs w:val="24"/>
                <w:highlight w:val="none"/>
              </w:rPr>
            </w:pPr>
          </w:p>
        </w:tc>
        <w:tc>
          <w:tcPr>
            <w:tcW w:w="1284"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金额</w:t>
            </w:r>
          </w:p>
        </w:tc>
        <w:tc>
          <w:tcPr>
            <w:tcW w:w="1000"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比例</w:t>
            </w:r>
          </w:p>
        </w:tc>
        <w:tc>
          <w:tcPr>
            <w:tcW w:w="1285"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金额</w:t>
            </w:r>
          </w:p>
        </w:tc>
        <w:tc>
          <w:tcPr>
            <w:tcW w:w="1285"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个人贷款(不含个人经营性贷款)</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2628.74</w:t>
            </w:r>
          </w:p>
        </w:tc>
        <w:tc>
          <w:tcPr>
            <w:tcW w:w="1000"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5.08%</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2261.53</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农、林、牧、渔业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3090.40</w:t>
            </w:r>
          </w:p>
        </w:tc>
        <w:tc>
          <w:tcPr>
            <w:tcW w:w="1000"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5.97%</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3542.32</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制造业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3805.57</w:t>
            </w:r>
          </w:p>
        </w:tc>
        <w:tc>
          <w:tcPr>
            <w:tcW w:w="1000"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7.35%</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9976.92</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16.51%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批发和零售业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10423.26</w:t>
            </w:r>
          </w:p>
        </w:tc>
        <w:tc>
          <w:tcPr>
            <w:tcW w:w="1000"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20.12%</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11434.46</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18.92%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租赁和商务服务业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3730.07</w:t>
            </w:r>
          </w:p>
        </w:tc>
        <w:tc>
          <w:tcPr>
            <w:tcW w:w="1000"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7.20%</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4413.60</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居民服务、修理和其他服务业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2065.28</w:t>
            </w:r>
          </w:p>
        </w:tc>
        <w:tc>
          <w:tcPr>
            <w:tcW w:w="1000"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3.99%</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2626.07</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教育业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465.19</w:t>
            </w:r>
          </w:p>
        </w:tc>
        <w:tc>
          <w:tcPr>
            <w:tcW w:w="1000"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0.90%</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553.40</w:t>
            </w:r>
          </w:p>
        </w:tc>
        <w:tc>
          <w:tcPr>
            <w:tcW w:w="1285" w:type="dxa"/>
            <w:noWrap w:val="0"/>
            <w:vAlign w:val="center"/>
          </w:tcPr>
          <w:p>
            <w:pPr>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lang w:val="en-US" w:eastAsia="zh-CN"/>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交通运输业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928.81</w:t>
            </w:r>
          </w:p>
        </w:tc>
        <w:tc>
          <w:tcPr>
            <w:tcW w:w="1000"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1.79%</w:t>
            </w:r>
          </w:p>
        </w:tc>
        <w:tc>
          <w:tcPr>
            <w:tcW w:w="1285"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1262.00</w:t>
            </w:r>
          </w:p>
        </w:tc>
        <w:tc>
          <w:tcPr>
            <w:tcW w:w="1285"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采矿业</w:t>
            </w:r>
          </w:p>
        </w:tc>
        <w:tc>
          <w:tcPr>
            <w:tcW w:w="1284" w:type="dxa"/>
            <w:noWrap w:val="0"/>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0</w:t>
            </w:r>
          </w:p>
        </w:tc>
        <w:tc>
          <w:tcPr>
            <w:tcW w:w="1000"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0.00%</w:t>
            </w:r>
          </w:p>
        </w:tc>
        <w:tc>
          <w:tcPr>
            <w:tcW w:w="1285" w:type="dxa"/>
            <w:noWrap w:val="0"/>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0</w:t>
            </w:r>
          </w:p>
        </w:tc>
        <w:tc>
          <w:tcPr>
            <w:tcW w:w="1285"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电力、热力、燃气及水生产和供应业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1015</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1.96%</w:t>
            </w:r>
          </w:p>
        </w:tc>
        <w:tc>
          <w:tcPr>
            <w:tcW w:w="1285" w:type="dxa"/>
            <w:noWrap w:val="0"/>
            <w:vAlign w:val="center"/>
          </w:tcPr>
          <w:p>
            <w:pPr>
              <w:jc w:val="center"/>
              <w:rPr>
                <w:rFonts w:hint="default" w:ascii="Times New Roman" w:hAnsi="Times New Roman" w:eastAsia="仿宋_GB2312" w:cs="Times New Roman"/>
                <w:bCs/>
                <w:sz w:val="24"/>
                <w:szCs w:val="24"/>
                <w:highlight w:val="none"/>
                <w:lang w:eastAsia="zh-CN"/>
              </w:rPr>
            </w:pPr>
            <w:r>
              <w:rPr>
                <w:rFonts w:hint="default" w:ascii="Times New Roman" w:hAnsi="Times New Roman" w:eastAsia="仿宋_GB2312" w:cs="Times New Roman"/>
                <w:sz w:val="24"/>
                <w:szCs w:val="24"/>
                <w:highlight w:val="none"/>
                <w:lang w:val="en-US" w:eastAsia="zh-CN"/>
              </w:rPr>
              <w:t>1127.00</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公共管理、社会保障和社会组织</w:t>
            </w:r>
          </w:p>
        </w:tc>
        <w:tc>
          <w:tcPr>
            <w:tcW w:w="1284"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0</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0.00%</w:t>
            </w:r>
          </w:p>
        </w:tc>
        <w:tc>
          <w:tcPr>
            <w:tcW w:w="1285" w:type="dxa"/>
            <w:noWrap w:val="0"/>
            <w:vAlign w:val="center"/>
          </w:tcPr>
          <w:p>
            <w:pPr>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0</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建筑业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17027.61</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32.87%</w:t>
            </w:r>
          </w:p>
        </w:tc>
        <w:tc>
          <w:tcPr>
            <w:tcW w:w="128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13557.71</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22.43%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文化、体育和娱乐业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696.92</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1.35%</w:t>
            </w:r>
          </w:p>
        </w:tc>
        <w:tc>
          <w:tcPr>
            <w:tcW w:w="128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1453.62</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信息传输、软件和信息技术服务业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485.07</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0.94%</w:t>
            </w:r>
          </w:p>
        </w:tc>
        <w:tc>
          <w:tcPr>
            <w:tcW w:w="128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415.32</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住宿和餐饮业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4580.92</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8.84%</w:t>
            </w:r>
          </w:p>
        </w:tc>
        <w:tc>
          <w:tcPr>
            <w:tcW w:w="128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4789.00</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金融业</w:t>
            </w:r>
          </w:p>
        </w:tc>
        <w:tc>
          <w:tcPr>
            <w:tcW w:w="1284"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0</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0.00%</w:t>
            </w:r>
          </w:p>
        </w:tc>
        <w:tc>
          <w:tcPr>
            <w:tcW w:w="1285" w:type="dxa"/>
            <w:noWrap w:val="0"/>
            <w:vAlign w:val="center"/>
          </w:tcPr>
          <w:p>
            <w:pPr>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0</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科学研究和技术服务业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4.96</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0.01%</w:t>
            </w:r>
          </w:p>
        </w:tc>
        <w:tc>
          <w:tcPr>
            <w:tcW w:w="1285" w:type="dxa"/>
            <w:noWrap w:val="0"/>
            <w:vAlign w:val="center"/>
          </w:tcPr>
          <w:p>
            <w:pPr>
              <w:jc w:val="center"/>
              <w:rPr>
                <w:rFonts w:hint="default" w:ascii="Times New Roman" w:hAnsi="Times New Roman" w:eastAsia="仿宋_GB2312" w:cs="Times New Roman"/>
                <w:bCs/>
                <w:sz w:val="24"/>
                <w:szCs w:val="24"/>
                <w:highlight w:val="none"/>
                <w:lang w:eastAsia="zh-CN"/>
              </w:rPr>
            </w:pPr>
            <w:r>
              <w:rPr>
                <w:rFonts w:hint="default" w:ascii="Times New Roman" w:hAnsi="Times New Roman" w:eastAsia="仿宋_GB2312" w:cs="Times New Roman"/>
                <w:sz w:val="24"/>
                <w:szCs w:val="24"/>
                <w:highlight w:val="none"/>
                <w:lang w:val="en-US" w:eastAsia="zh-CN"/>
              </w:rPr>
              <w:t>249.00</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卫生和社会工作</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107</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0.21%</w:t>
            </w:r>
          </w:p>
        </w:tc>
        <w:tc>
          <w:tcPr>
            <w:tcW w:w="128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217.00</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486"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房地产业</w:t>
            </w:r>
          </w:p>
        </w:tc>
        <w:tc>
          <w:tcPr>
            <w:tcW w:w="1284" w:type="dxa"/>
            <w:noWrap w:val="0"/>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0</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0.00%</w:t>
            </w:r>
          </w:p>
        </w:tc>
        <w:tc>
          <w:tcPr>
            <w:tcW w:w="1285" w:type="dxa"/>
            <w:noWrap w:val="0"/>
            <w:vAlign w:val="center"/>
          </w:tcPr>
          <w:p>
            <w:pPr>
              <w:jc w:val="center"/>
              <w:rPr>
                <w:rFonts w:hint="default" w:ascii="Times New Roman" w:hAnsi="Times New Roman" w:eastAsia="仿宋_GB2312" w:cs="Times New Roman"/>
                <w:bCs/>
                <w:sz w:val="24"/>
                <w:szCs w:val="24"/>
                <w:highlight w:val="none"/>
                <w:lang w:eastAsia="zh-CN"/>
              </w:rPr>
            </w:pPr>
            <w:r>
              <w:rPr>
                <w:rFonts w:hint="default" w:ascii="Times New Roman" w:hAnsi="Times New Roman" w:eastAsia="仿宋_GB2312" w:cs="Times New Roman"/>
                <w:sz w:val="24"/>
                <w:szCs w:val="24"/>
                <w:highlight w:val="none"/>
                <w:lang w:val="en-US" w:eastAsia="zh-CN"/>
              </w:rPr>
              <w:t>0</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486"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水利、环境和公共设施管理业</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742</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1.43%</w:t>
            </w:r>
          </w:p>
        </w:tc>
        <w:tc>
          <w:tcPr>
            <w:tcW w:w="128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2565</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486" w:type="dxa"/>
            <w:noWrap w:val="0"/>
            <w:vAlign w:val="bottom"/>
          </w:tcPr>
          <w:p>
            <w:pPr>
              <w:widowControl/>
              <w:textAlignment w:val="bottom"/>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 xml:space="preserve">贷款和垫款总额 </w:t>
            </w:r>
          </w:p>
        </w:tc>
        <w:tc>
          <w:tcPr>
            <w:tcW w:w="1284" w:type="dxa"/>
            <w:noWrap w:val="0"/>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51796.83</w:t>
            </w:r>
          </w:p>
        </w:tc>
        <w:tc>
          <w:tcPr>
            <w:tcW w:w="10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100.00%</w:t>
            </w:r>
          </w:p>
        </w:tc>
        <w:tc>
          <w:tcPr>
            <w:tcW w:w="128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sz w:val="24"/>
                <w:szCs w:val="24"/>
                <w:highlight w:val="none"/>
                <w:lang w:val="en-US" w:eastAsia="zh-CN"/>
              </w:rPr>
              <w:t>60443.95</w:t>
            </w:r>
          </w:p>
        </w:tc>
        <w:tc>
          <w:tcPr>
            <w:tcW w:w="12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
              </w:rPr>
              <w:t>100.00%</w:t>
            </w:r>
          </w:p>
        </w:tc>
      </w:tr>
    </w:tbl>
    <w:p>
      <w:pPr>
        <w:ind w:firstLine="422" w:firstLineChars="200"/>
        <w:rPr>
          <w:rFonts w:hint="default" w:ascii="Times New Roman" w:hAnsi="Times New Roman" w:cs="Times New Roman"/>
          <w:b/>
          <w:bCs/>
          <w:szCs w:val="21"/>
          <w:highlight w:val="none"/>
        </w:rPr>
      </w:pPr>
    </w:p>
    <w:p>
      <w:pPr>
        <w:ind w:firstLine="602"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bCs/>
          <w:sz w:val="30"/>
          <w:szCs w:val="30"/>
          <w:highlight w:val="none"/>
        </w:rPr>
        <w:t>4.4.2 贷款担保方式分布情况</w:t>
      </w:r>
      <w:r>
        <w:rPr>
          <w:rFonts w:hint="default" w:ascii="Times New Roman" w:hAnsi="Times New Roman" w:eastAsia="仿宋_GB2312" w:cs="Times New Roman"/>
          <w:sz w:val="30"/>
          <w:szCs w:val="30"/>
          <w:highlight w:val="none"/>
        </w:rPr>
        <w:t xml:space="preserve"> </w:t>
      </w:r>
    </w:p>
    <w:p>
      <w:pPr>
        <w:ind w:firstLine="6300" w:firstLineChars="3000"/>
        <w:rPr>
          <w:rFonts w:hint="default" w:ascii="Times New Roman" w:hAnsi="Times New Roman" w:cs="Times New Roman"/>
          <w:b/>
          <w:szCs w:val="21"/>
          <w:highlight w:val="none"/>
        </w:rPr>
      </w:pPr>
      <w:r>
        <w:rPr>
          <w:rFonts w:hint="default" w:ascii="Times New Roman" w:hAnsi="Times New Roman" w:cs="Times New Roman"/>
          <w:szCs w:val="21"/>
          <w:highlight w:val="none"/>
        </w:rPr>
        <w:t>单位：人民币万元</w:t>
      </w:r>
    </w:p>
    <w:tbl>
      <w:tblPr>
        <w:tblStyle w:val="3"/>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2745"/>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项  目</w:t>
            </w:r>
          </w:p>
        </w:tc>
        <w:tc>
          <w:tcPr>
            <w:tcW w:w="2745" w:type="dxa"/>
            <w:noWrap w:val="0"/>
            <w:vAlign w:val="center"/>
          </w:tcPr>
          <w:p>
            <w:pPr>
              <w:tabs>
                <w:tab w:val="right" w:pos="2018"/>
                <w:tab w:val="right" w:pos="7920"/>
              </w:tabs>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202</w:t>
            </w:r>
            <w:r>
              <w:rPr>
                <w:rFonts w:hint="default" w:ascii="Times New Roman" w:hAnsi="Times New Roman" w:eastAsia="仿宋_GB2312" w:cs="Times New Roman"/>
                <w:b/>
                <w:sz w:val="24"/>
                <w:szCs w:val="24"/>
                <w:highlight w:val="none"/>
                <w:lang w:val="en-US" w:eastAsia="zh-CN"/>
              </w:rPr>
              <w:t>3</w:t>
            </w:r>
            <w:r>
              <w:rPr>
                <w:rFonts w:hint="default" w:ascii="Times New Roman" w:hAnsi="Times New Roman" w:eastAsia="仿宋_GB2312" w:cs="Times New Roman"/>
                <w:b/>
                <w:sz w:val="24"/>
                <w:szCs w:val="24"/>
                <w:highlight w:val="none"/>
              </w:rPr>
              <w:t>年12月31日</w:t>
            </w:r>
          </w:p>
        </w:tc>
        <w:tc>
          <w:tcPr>
            <w:tcW w:w="2817" w:type="dxa"/>
            <w:noWrap w:val="0"/>
            <w:vAlign w:val="center"/>
          </w:tcPr>
          <w:p>
            <w:pPr>
              <w:tabs>
                <w:tab w:val="right" w:pos="2018"/>
                <w:tab w:val="right" w:pos="7920"/>
              </w:tabs>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202</w:t>
            </w:r>
            <w:r>
              <w:rPr>
                <w:rFonts w:hint="default" w:ascii="Times New Roman" w:hAnsi="Times New Roman" w:eastAsia="仿宋_GB2312" w:cs="Times New Roman"/>
                <w:b/>
                <w:sz w:val="24"/>
                <w:szCs w:val="24"/>
                <w:highlight w:val="none"/>
                <w:lang w:val="en-US" w:eastAsia="zh-CN"/>
              </w:rPr>
              <w:t>4</w:t>
            </w:r>
            <w:r>
              <w:rPr>
                <w:rFonts w:hint="default" w:ascii="Times New Roman" w:hAnsi="Times New Roman" w:eastAsia="仿宋_GB2312" w:cs="Times New Roman"/>
                <w:b/>
                <w:sz w:val="24"/>
                <w:szCs w:val="24"/>
                <w:highlight w:val="none"/>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保证贷款</w:t>
            </w:r>
          </w:p>
        </w:tc>
        <w:tc>
          <w:tcPr>
            <w:tcW w:w="274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15586.80</w:t>
            </w:r>
          </w:p>
        </w:tc>
        <w:tc>
          <w:tcPr>
            <w:tcW w:w="2817"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23089.27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附担保物贷款</w:t>
            </w:r>
          </w:p>
        </w:tc>
        <w:tc>
          <w:tcPr>
            <w:tcW w:w="274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32143.42</w:t>
            </w:r>
          </w:p>
        </w:tc>
        <w:tc>
          <w:tcPr>
            <w:tcW w:w="2817"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28943.76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其中：抵押贷款</w:t>
            </w:r>
          </w:p>
        </w:tc>
        <w:tc>
          <w:tcPr>
            <w:tcW w:w="274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32143.42</w:t>
            </w:r>
          </w:p>
        </w:tc>
        <w:tc>
          <w:tcPr>
            <w:tcW w:w="2817"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28908.76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 xml:space="preserve">      质押贷款</w:t>
            </w:r>
          </w:p>
        </w:tc>
        <w:tc>
          <w:tcPr>
            <w:tcW w:w="274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0</w:t>
            </w:r>
          </w:p>
        </w:tc>
        <w:tc>
          <w:tcPr>
            <w:tcW w:w="2817" w:type="dxa"/>
            <w:noWrap w:val="0"/>
            <w:vAlign w:val="center"/>
          </w:tcPr>
          <w:p>
            <w:pPr>
              <w:jc w:val="center"/>
              <w:rPr>
                <w:rFonts w:hint="default" w:ascii="Times New Roman" w:hAnsi="Times New Roman" w:eastAsia="仿宋_GB2312" w:cs="Times New Roman"/>
                <w:bCs/>
                <w:sz w:val="24"/>
                <w:szCs w:val="24"/>
                <w:highlight w:val="none"/>
                <w:lang w:eastAsia="zh-CN"/>
              </w:rPr>
            </w:pPr>
            <w:r>
              <w:rPr>
                <w:rFonts w:hint="default" w:ascii="Times New Roman" w:hAnsi="Times New Roman" w:eastAsia="仿宋_GB2312" w:cs="Times New Roman"/>
                <w:bCs/>
                <w:sz w:val="24"/>
                <w:szCs w:val="24"/>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信用贷款</w:t>
            </w:r>
          </w:p>
        </w:tc>
        <w:tc>
          <w:tcPr>
            <w:tcW w:w="274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4066.61</w:t>
            </w:r>
          </w:p>
        </w:tc>
        <w:tc>
          <w:tcPr>
            <w:tcW w:w="2817"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8410.92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贴现</w:t>
            </w:r>
          </w:p>
        </w:tc>
        <w:tc>
          <w:tcPr>
            <w:tcW w:w="2745" w:type="dxa"/>
            <w:noWrap w:val="0"/>
            <w:vAlign w:val="center"/>
          </w:tcPr>
          <w:p>
            <w:pPr>
              <w:jc w:val="center"/>
              <w:rPr>
                <w:rFonts w:hint="default" w:ascii="Times New Roman" w:hAnsi="Times New Roman" w:eastAsia="仿宋_GB2312" w:cs="Times New Roman"/>
                <w:bCs/>
                <w:sz w:val="24"/>
                <w:szCs w:val="24"/>
                <w:highlight w:val="none"/>
                <w:lang w:eastAsia="zh-CN"/>
              </w:rPr>
            </w:pPr>
            <w:r>
              <w:rPr>
                <w:rFonts w:hint="default" w:ascii="Times New Roman" w:hAnsi="Times New Roman" w:eastAsia="仿宋_GB2312" w:cs="Times New Roman"/>
                <w:bCs/>
                <w:sz w:val="24"/>
                <w:szCs w:val="24"/>
                <w:highlight w:val="none"/>
                <w:lang w:val="en-US" w:eastAsia="zh-CN"/>
              </w:rPr>
              <w:t>0</w:t>
            </w:r>
          </w:p>
        </w:tc>
        <w:tc>
          <w:tcPr>
            <w:tcW w:w="2817" w:type="dxa"/>
            <w:noWrap w:val="0"/>
            <w:vAlign w:val="center"/>
          </w:tcPr>
          <w:p>
            <w:pPr>
              <w:jc w:val="center"/>
              <w:rPr>
                <w:rFonts w:hint="default" w:ascii="Times New Roman" w:hAnsi="Times New Roman" w:eastAsia="仿宋_GB2312" w:cs="Times New Roman"/>
                <w:bCs/>
                <w:sz w:val="24"/>
                <w:szCs w:val="24"/>
                <w:highlight w:val="none"/>
                <w:lang w:eastAsia="zh-CN"/>
              </w:rPr>
            </w:pPr>
            <w:r>
              <w:rPr>
                <w:rFonts w:hint="default" w:ascii="Times New Roman" w:hAnsi="Times New Roman" w:eastAsia="仿宋_GB2312" w:cs="Times New Roman"/>
                <w:bCs/>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其中：银行承兑汇票</w:t>
            </w:r>
          </w:p>
        </w:tc>
        <w:tc>
          <w:tcPr>
            <w:tcW w:w="274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0</w:t>
            </w:r>
          </w:p>
        </w:tc>
        <w:tc>
          <w:tcPr>
            <w:tcW w:w="2817"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180.05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left"/>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 xml:space="preserve">      商业承兑汇票</w:t>
            </w:r>
          </w:p>
        </w:tc>
        <w:tc>
          <w:tcPr>
            <w:tcW w:w="2745" w:type="dxa"/>
            <w:noWrap w:val="0"/>
            <w:vAlign w:val="center"/>
          </w:tcPr>
          <w:p>
            <w:pPr>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0</w:t>
            </w:r>
          </w:p>
        </w:tc>
        <w:tc>
          <w:tcPr>
            <w:tcW w:w="2817" w:type="dxa"/>
            <w:noWrap w:val="0"/>
            <w:vAlign w:val="center"/>
          </w:tcPr>
          <w:p>
            <w:pPr>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758" w:type="dxa"/>
            <w:noWrap w:val="0"/>
            <w:vAlign w:val="bottom"/>
          </w:tcPr>
          <w:p>
            <w:pPr>
              <w:widowControl/>
              <w:textAlignment w:val="bottom"/>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bidi="ar"/>
              </w:rPr>
              <w:t xml:space="preserve">贷款和垫款总额 </w:t>
            </w:r>
          </w:p>
        </w:tc>
        <w:tc>
          <w:tcPr>
            <w:tcW w:w="2745"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51796.83</w:t>
            </w:r>
          </w:p>
        </w:tc>
        <w:tc>
          <w:tcPr>
            <w:tcW w:w="2817" w:type="dxa"/>
            <w:noWrap w:val="0"/>
            <w:vAlign w:val="center"/>
          </w:tcPr>
          <w:p>
            <w:pPr>
              <w:jc w:val="center"/>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60443.95</w:t>
            </w:r>
          </w:p>
        </w:tc>
      </w:tr>
    </w:tbl>
    <w:p>
      <w:pPr>
        <w:rPr>
          <w:rFonts w:hint="default" w:ascii="Times New Roman" w:hAnsi="Times New Roman" w:cs="Times New Roman"/>
          <w:szCs w:val="21"/>
          <w:highlight w:val="none"/>
        </w:rPr>
      </w:pPr>
    </w:p>
    <w:p>
      <w:pPr>
        <w:ind w:firstLine="602"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bCs/>
          <w:sz w:val="30"/>
          <w:szCs w:val="30"/>
          <w:highlight w:val="none"/>
        </w:rPr>
        <w:t>5</w:t>
      </w:r>
      <w:r>
        <w:rPr>
          <w:rFonts w:hint="default" w:ascii="Times New Roman" w:hAnsi="Times New Roman" w:eastAsia="仿宋_GB2312" w:cs="Times New Roman"/>
          <w:b/>
          <w:bCs/>
          <w:sz w:val="30"/>
          <w:szCs w:val="30"/>
          <w:highlight w:val="none"/>
          <w:lang w:eastAsia="zh-CN"/>
        </w:rPr>
        <w:t>、</w:t>
      </w:r>
      <w:r>
        <w:rPr>
          <w:rFonts w:hint="default" w:ascii="Times New Roman" w:hAnsi="Times New Roman" w:eastAsia="仿宋_GB2312" w:cs="Times New Roman"/>
          <w:b/>
          <w:sz w:val="30"/>
          <w:szCs w:val="30"/>
          <w:highlight w:val="none"/>
        </w:rPr>
        <w:t>股本变动及股东情况</w:t>
      </w:r>
    </w:p>
    <w:p>
      <w:pPr>
        <w:ind w:firstLine="602" w:firstLineChars="200"/>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rPr>
        <w:t>5.1股东权益</w:t>
      </w:r>
    </w:p>
    <w:p>
      <w:pPr>
        <w:ind w:firstLine="6300" w:firstLineChars="3000"/>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单位:万元</w:t>
      </w:r>
    </w:p>
    <w:tbl>
      <w:tblPr>
        <w:tblStyle w:val="3"/>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2549"/>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项  目</w:t>
            </w:r>
          </w:p>
        </w:tc>
        <w:tc>
          <w:tcPr>
            <w:tcW w:w="2549" w:type="dxa"/>
            <w:noWrap w:val="0"/>
            <w:vAlign w:val="center"/>
          </w:tcPr>
          <w:p>
            <w:pPr>
              <w:tabs>
                <w:tab w:val="right" w:pos="2018"/>
                <w:tab w:val="right" w:pos="7920"/>
              </w:tabs>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default" w:ascii="Times New Roman" w:hAnsi="Times New Roman" w:eastAsia="仿宋_GB2312" w:cs="Times New Roman"/>
                <w:b/>
                <w:color w:val="auto"/>
                <w:sz w:val="24"/>
                <w:szCs w:val="24"/>
                <w:highlight w:val="none"/>
                <w:lang w:val="en-US" w:eastAsia="zh-CN"/>
              </w:rPr>
              <w:t>3</w:t>
            </w:r>
            <w:r>
              <w:rPr>
                <w:rFonts w:hint="default" w:ascii="Times New Roman" w:hAnsi="Times New Roman" w:eastAsia="仿宋_GB2312" w:cs="Times New Roman"/>
                <w:b/>
                <w:color w:val="auto"/>
                <w:sz w:val="24"/>
                <w:szCs w:val="24"/>
                <w:highlight w:val="none"/>
              </w:rPr>
              <w:t>年12月31日</w:t>
            </w:r>
          </w:p>
        </w:tc>
        <w:tc>
          <w:tcPr>
            <w:tcW w:w="2708" w:type="dxa"/>
            <w:noWrap w:val="0"/>
            <w:vAlign w:val="center"/>
          </w:tcPr>
          <w:p>
            <w:pPr>
              <w:tabs>
                <w:tab w:val="right" w:pos="2018"/>
                <w:tab w:val="right" w:pos="7920"/>
              </w:tabs>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default" w:ascii="Times New Roman" w:hAnsi="Times New Roman" w:eastAsia="仿宋_GB2312" w:cs="Times New Roman"/>
                <w:b/>
                <w:color w:val="auto"/>
                <w:sz w:val="24"/>
                <w:szCs w:val="24"/>
                <w:highlight w:val="none"/>
                <w:lang w:val="en-US" w:eastAsia="zh-CN"/>
              </w:rPr>
              <w:t>4</w:t>
            </w:r>
            <w:r>
              <w:rPr>
                <w:rFonts w:hint="default" w:ascii="Times New Roman" w:hAnsi="Times New Roman" w:eastAsia="仿宋_GB2312" w:cs="Times New Roman"/>
                <w:b/>
                <w:color w:val="auto"/>
                <w:sz w:val="24"/>
                <w:szCs w:val="24"/>
                <w:highlight w:val="none"/>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23" w:type="dxa"/>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总股本</w:t>
            </w:r>
          </w:p>
        </w:tc>
        <w:tc>
          <w:tcPr>
            <w:tcW w:w="2549" w:type="dxa"/>
            <w:noWrap w:val="0"/>
            <w:vAlign w:val="center"/>
          </w:tcPr>
          <w:p>
            <w:pPr>
              <w:spacing w:line="320" w:lineRule="exact"/>
              <w:jc w:val="center"/>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bCs/>
                <w:color w:val="auto"/>
                <w:sz w:val="24"/>
                <w:szCs w:val="24"/>
                <w:highlight w:val="none"/>
              </w:rPr>
              <w:t>10000</w:t>
            </w:r>
          </w:p>
        </w:tc>
        <w:tc>
          <w:tcPr>
            <w:tcW w:w="2708" w:type="dxa"/>
            <w:noWrap w:val="0"/>
            <w:vAlign w:val="center"/>
          </w:tcPr>
          <w:p>
            <w:pPr>
              <w:spacing w:line="320" w:lineRule="exact"/>
              <w:jc w:val="center"/>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bCs/>
                <w:color w:val="auto"/>
                <w:sz w:val="24"/>
                <w:szCs w:val="24"/>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资本公积</w:t>
            </w:r>
          </w:p>
        </w:tc>
        <w:tc>
          <w:tcPr>
            <w:tcW w:w="2549" w:type="dxa"/>
            <w:noWrap w:val="0"/>
            <w:vAlign w:val="center"/>
          </w:tcPr>
          <w:p>
            <w:pPr>
              <w:spacing w:line="320" w:lineRule="exact"/>
              <w:jc w:val="center"/>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Cs/>
                <w:color w:val="auto"/>
                <w:sz w:val="24"/>
                <w:szCs w:val="24"/>
                <w:highlight w:val="none"/>
              </w:rPr>
              <w:t>-</w:t>
            </w:r>
          </w:p>
        </w:tc>
        <w:tc>
          <w:tcPr>
            <w:tcW w:w="2708" w:type="dxa"/>
            <w:noWrap w:val="0"/>
            <w:vAlign w:val="center"/>
          </w:tcPr>
          <w:p>
            <w:pPr>
              <w:spacing w:line="320" w:lineRule="exact"/>
              <w:jc w:val="center"/>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盈余公积</w:t>
            </w:r>
          </w:p>
        </w:tc>
        <w:tc>
          <w:tcPr>
            <w:tcW w:w="2549" w:type="dxa"/>
            <w:noWrap w:val="0"/>
            <w:vAlign w:val="center"/>
          </w:tcPr>
          <w:p>
            <w:pPr>
              <w:jc w:val="center"/>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586</w:t>
            </w:r>
          </w:p>
        </w:tc>
        <w:tc>
          <w:tcPr>
            <w:tcW w:w="2708" w:type="dxa"/>
            <w:noWrap w:val="0"/>
            <w:vAlign w:val="center"/>
          </w:tcPr>
          <w:p>
            <w:pPr>
              <w:jc w:val="center"/>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一般风险准备</w:t>
            </w:r>
          </w:p>
        </w:tc>
        <w:tc>
          <w:tcPr>
            <w:tcW w:w="2549" w:type="dxa"/>
            <w:noWrap w:val="0"/>
            <w:vAlign w:val="center"/>
          </w:tcPr>
          <w:p>
            <w:pPr>
              <w:jc w:val="center"/>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1452</w:t>
            </w:r>
          </w:p>
        </w:tc>
        <w:tc>
          <w:tcPr>
            <w:tcW w:w="2708" w:type="dxa"/>
            <w:noWrap w:val="0"/>
            <w:vAlign w:val="center"/>
          </w:tcPr>
          <w:p>
            <w:pPr>
              <w:jc w:val="center"/>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未分配利润</w:t>
            </w:r>
          </w:p>
        </w:tc>
        <w:tc>
          <w:tcPr>
            <w:tcW w:w="2549" w:type="dxa"/>
            <w:noWrap w:val="0"/>
            <w:vAlign w:val="center"/>
          </w:tcPr>
          <w:p>
            <w:pPr>
              <w:jc w:val="center"/>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1832</w:t>
            </w:r>
          </w:p>
        </w:tc>
        <w:tc>
          <w:tcPr>
            <w:tcW w:w="2708" w:type="dxa"/>
            <w:noWrap w:val="0"/>
            <w:vAlign w:val="center"/>
          </w:tcPr>
          <w:p>
            <w:pPr>
              <w:jc w:val="center"/>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1343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股东权益合计</w:t>
            </w:r>
          </w:p>
        </w:tc>
        <w:tc>
          <w:tcPr>
            <w:tcW w:w="2549" w:type="dxa"/>
            <w:noWrap w:val="0"/>
            <w:vAlign w:val="center"/>
          </w:tcPr>
          <w:p>
            <w:pPr>
              <w:spacing w:line="320" w:lineRule="exact"/>
              <w:jc w:val="center"/>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color w:val="auto"/>
                <w:sz w:val="24"/>
                <w:szCs w:val="24"/>
                <w:highlight w:val="none"/>
                <w:lang w:val="en-US" w:eastAsia="zh-CN"/>
              </w:rPr>
              <w:t>13870</w:t>
            </w:r>
          </w:p>
        </w:tc>
        <w:tc>
          <w:tcPr>
            <w:tcW w:w="2708" w:type="dxa"/>
            <w:noWrap w:val="0"/>
            <w:vAlign w:val="center"/>
          </w:tcPr>
          <w:p>
            <w:pPr>
              <w:spacing w:line="320" w:lineRule="exact"/>
              <w:jc w:val="center"/>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b/>
                <w:color w:val="auto"/>
                <w:sz w:val="24"/>
                <w:szCs w:val="24"/>
                <w:highlight w:val="none"/>
                <w:lang w:val="en-US" w:eastAsia="zh-CN"/>
              </w:rPr>
              <w:t>13381</w:t>
            </w:r>
          </w:p>
        </w:tc>
      </w:tr>
    </w:tbl>
    <w:p>
      <w:pPr>
        <w:ind w:firstLine="482" w:firstLineChars="200"/>
        <w:rPr>
          <w:rFonts w:hint="default" w:ascii="Times New Roman" w:hAnsi="Times New Roman" w:eastAsia="仿宋_GB2312" w:cs="Times New Roman"/>
          <w:b/>
          <w:color w:val="FF0000"/>
          <w:sz w:val="24"/>
          <w:szCs w:val="24"/>
          <w:highlight w:val="none"/>
          <w:lang w:eastAsia="zh-CN"/>
        </w:rPr>
      </w:pPr>
    </w:p>
    <w:p>
      <w:pPr>
        <w:ind w:firstLine="602"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sz w:val="30"/>
          <w:szCs w:val="30"/>
          <w:highlight w:val="none"/>
        </w:rPr>
        <w:t>5.2股本结构情况表</w:t>
      </w:r>
    </w:p>
    <w:p>
      <w:pPr>
        <w:ind w:firstLine="6930" w:firstLineChars="3300"/>
        <w:rPr>
          <w:rFonts w:hint="default" w:ascii="Times New Roman" w:hAnsi="Times New Roman" w:cs="Times New Roman"/>
          <w:szCs w:val="21"/>
          <w:highlight w:val="none"/>
        </w:rPr>
      </w:pPr>
      <w:r>
        <w:rPr>
          <w:rFonts w:hint="default" w:ascii="Times New Roman" w:hAnsi="Times New Roman" w:cs="Times New Roman"/>
          <w:szCs w:val="21"/>
          <w:highlight w:val="none"/>
        </w:rPr>
        <w:t>单位:万股</w:t>
      </w:r>
    </w:p>
    <w:tbl>
      <w:tblPr>
        <w:tblStyle w:val="3"/>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2773"/>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top"/>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股东类型</w:t>
            </w:r>
          </w:p>
        </w:tc>
        <w:tc>
          <w:tcPr>
            <w:tcW w:w="2773" w:type="dxa"/>
            <w:noWrap w:val="0"/>
            <w:vAlign w:val="top"/>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股本数</w:t>
            </w:r>
          </w:p>
        </w:tc>
        <w:tc>
          <w:tcPr>
            <w:tcW w:w="2854" w:type="dxa"/>
            <w:noWrap w:val="0"/>
            <w:vAlign w:val="top"/>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国有股</w:t>
            </w:r>
          </w:p>
        </w:tc>
        <w:tc>
          <w:tcPr>
            <w:tcW w:w="2773" w:type="dxa"/>
            <w:noWrap w:val="0"/>
            <w:vAlign w:val="center"/>
          </w:tcPr>
          <w:p>
            <w:pPr>
              <w:jc w:val="center"/>
              <w:rPr>
                <w:rFonts w:hint="default" w:ascii="Times New Roman" w:hAnsi="Times New Roman" w:eastAsia="仿宋_GB2312" w:cs="Times New Roman"/>
                <w:bCs/>
                <w:sz w:val="24"/>
                <w:szCs w:val="24"/>
                <w:highlight w:val="none"/>
              </w:rPr>
            </w:pPr>
          </w:p>
        </w:tc>
        <w:tc>
          <w:tcPr>
            <w:tcW w:w="2854" w:type="dxa"/>
            <w:noWrap w:val="0"/>
            <w:vAlign w:val="center"/>
          </w:tcPr>
          <w:p>
            <w:pPr>
              <w:jc w:val="center"/>
              <w:rPr>
                <w:rFonts w:hint="default" w:ascii="Times New Roman" w:hAnsi="Times New Roman" w:eastAsia="仿宋_GB2312"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法人股</w:t>
            </w:r>
          </w:p>
        </w:tc>
        <w:tc>
          <w:tcPr>
            <w:tcW w:w="2773" w:type="dxa"/>
            <w:noWrap w:val="0"/>
            <w:vAlign w:val="center"/>
          </w:tcPr>
          <w:p>
            <w:pPr>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10000</w:t>
            </w:r>
          </w:p>
        </w:tc>
        <w:tc>
          <w:tcPr>
            <w:tcW w:w="2854" w:type="dxa"/>
            <w:noWrap w:val="0"/>
            <w:vAlign w:val="center"/>
          </w:tcPr>
          <w:p>
            <w:pPr>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lang w:val="en-US" w:eastAsia="zh-CN"/>
              </w:rPr>
              <w:t>100</w:t>
            </w:r>
            <w:r>
              <w:rPr>
                <w:rFonts w:hint="default" w:ascii="Times New Roman" w:hAnsi="Times New Roman" w:eastAsia="仿宋_GB2312" w:cs="Times New Roman"/>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个人股</w:t>
            </w:r>
          </w:p>
        </w:tc>
        <w:tc>
          <w:tcPr>
            <w:tcW w:w="2773" w:type="dxa"/>
            <w:noWrap w:val="0"/>
            <w:vAlign w:val="center"/>
          </w:tcPr>
          <w:p>
            <w:pPr>
              <w:jc w:val="center"/>
              <w:rPr>
                <w:rFonts w:hint="default" w:ascii="Times New Roman" w:hAnsi="Times New Roman" w:eastAsia="仿宋_GB2312" w:cs="Times New Roman"/>
                <w:bCs/>
                <w:sz w:val="24"/>
                <w:szCs w:val="24"/>
                <w:highlight w:val="none"/>
              </w:rPr>
            </w:pPr>
          </w:p>
        </w:tc>
        <w:tc>
          <w:tcPr>
            <w:tcW w:w="2854" w:type="dxa"/>
            <w:noWrap w:val="0"/>
            <w:vAlign w:val="center"/>
          </w:tcPr>
          <w:p>
            <w:pPr>
              <w:jc w:val="center"/>
              <w:rPr>
                <w:rFonts w:hint="default" w:ascii="Times New Roman" w:hAnsi="Times New Roman" w:eastAsia="仿宋_GB2312"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top"/>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股份总数</w:t>
            </w:r>
          </w:p>
        </w:tc>
        <w:tc>
          <w:tcPr>
            <w:tcW w:w="2773" w:type="dxa"/>
            <w:noWrap w:val="0"/>
            <w:vAlign w:val="center"/>
          </w:tcPr>
          <w:p>
            <w:pPr>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10000</w:t>
            </w:r>
          </w:p>
        </w:tc>
        <w:tc>
          <w:tcPr>
            <w:tcW w:w="2854" w:type="dxa"/>
            <w:noWrap w:val="0"/>
            <w:vAlign w:val="center"/>
          </w:tcPr>
          <w:p>
            <w:pPr>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100%</w:t>
            </w:r>
          </w:p>
        </w:tc>
      </w:tr>
    </w:tbl>
    <w:p>
      <w:pPr>
        <w:ind w:firstLine="352" w:firstLineChars="196"/>
        <w:rPr>
          <w:rFonts w:hint="default" w:ascii="Times New Roman" w:hAnsi="Times New Roman" w:cs="Times New Roman"/>
          <w:sz w:val="18"/>
          <w:szCs w:val="18"/>
          <w:highlight w:val="none"/>
        </w:rPr>
      </w:pPr>
    </w:p>
    <w:p>
      <w:pPr>
        <w:ind w:firstLine="602"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5.3报告期十大股东持股表</w:t>
      </w:r>
    </w:p>
    <w:p>
      <w:pPr>
        <w:ind w:firstLine="7140" w:firstLineChars="3400"/>
        <w:rPr>
          <w:rFonts w:hint="default" w:ascii="Times New Roman" w:hAnsi="Times New Roman" w:cs="Times New Roman"/>
          <w:szCs w:val="21"/>
          <w:highlight w:val="none"/>
        </w:rPr>
      </w:pPr>
      <w:r>
        <w:rPr>
          <w:rFonts w:hint="default" w:ascii="Times New Roman" w:hAnsi="Times New Roman" w:cs="Times New Roman"/>
          <w:szCs w:val="21"/>
          <w:highlight w:val="none"/>
        </w:rPr>
        <w:t>单位:万股</w:t>
      </w:r>
    </w:p>
    <w:tbl>
      <w:tblPr>
        <w:tblStyle w:val="3"/>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5"/>
        <w:gridCol w:w="1153"/>
        <w:gridCol w:w="1199"/>
        <w:gridCol w:w="1362"/>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3205" w:type="dxa"/>
            <w:tcBorders>
              <w:bottom w:val="single" w:color="auto" w:sz="4" w:space="0"/>
            </w:tcBorders>
            <w:noWrap w:val="0"/>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股东名称</w:t>
            </w:r>
          </w:p>
        </w:tc>
        <w:tc>
          <w:tcPr>
            <w:tcW w:w="1153" w:type="dxa"/>
            <w:noWrap w:val="0"/>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202</w:t>
            </w:r>
            <w:r>
              <w:rPr>
                <w:rFonts w:hint="eastAsia" w:eastAsia="仿宋_GB2312" w:cs="Times New Roman"/>
                <w:b/>
                <w:sz w:val="24"/>
                <w:szCs w:val="24"/>
                <w:highlight w:val="none"/>
                <w:lang w:val="en-US" w:eastAsia="zh-CN"/>
              </w:rPr>
              <w:t>4</w:t>
            </w:r>
            <w:r>
              <w:rPr>
                <w:rFonts w:hint="default" w:ascii="Times New Roman" w:hAnsi="Times New Roman" w:eastAsia="仿宋_GB2312" w:cs="Times New Roman"/>
                <w:b/>
                <w:sz w:val="24"/>
                <w:szCs w:val="24"/>
                <w:highlight w:val="none"/>
              </w:rPr>
              <w:t>年末</w:t>
            </w:r>
          </w:p>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持股数</w:t>
            </w:r>
          </w:p>
        </w:tc>
        <w:tc>
          <w:tcPr>
            <w:tcW w:w="1199" w:type="dxa"/>
            <w:noWrap w:val="0"/>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占总股本</w:t>
            </w:r>
          </w:p>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比例</w:t>
            </w:r>
          </w:p>
        </w:tc>
        <w:tc>
          <w:tcPr>
            <w:tcW w:w="1362" w:type="dxa"/>
            <w:noWrap w:val="0"/>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202</w:t>
            </w:r>
            <w:r>
              <w:rPr>
                <w:rFonts w:hint="eastAsia" w:eastAsia="仿宋_GB2312" w:cs="Times New Roman"/>
                <w:b/>
                <w:sz w:val="24"/>
                <w:szCs w:val="24"/>
                <w:highlight w:val="none"/>
                <w:lang w:val="en-US" w:eastAsia="zh-CN"/>
              </w:rPr>
              <w:t>4</w:t>
            </w:r>
            <w:r>
              <w:rPr>
                <w:rFonts w:hint="default" w:ascii="Times New Roman" w:hAnsi="Times New Roman" w:eastAsia="仿宋_GB2312" w:cs="Times New Roman"/>
                <w:b/>
                <w:sz w:val="24"/>
                <w:szCs w:val="24"/>
                <w:highlight w:val="none"/>
              </w:rPr>
              <w:t>年初</w:t>
            </w:r>
          </w:p>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持股数</w:t>
            </w:r>
          </w:p>
        </w:tc>
        <w:tc>
          <w:tcPr>
            <w:tcW w:w="1361" w:type="dxa"/>
            <w:noWrap w:val="0"/>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占总股本</w:t>
            </w:r>
          </w:p>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205" w:type="dxa"/>
            <w:noWrap w:val="0"/>
            <w:vAlign w:val="center"/>
          </w:tcPr>
          <w:p>
            <w:pPr>
              <w:widowControl/>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浙江稠州商业银行股份有限公司</w:t>
            </w:r>
          </w:p>
        </w:tc>
        <w:tc>
          <w:tcPr>
            <w:tcW w:w="1153" w:type="dxa"/>
            <w:noWrap w:val="0"/>
            <w:vAlign w:val="center"/>
          </w:tcPr>
          <w:p>
            <w:pPr>
              <w:widowControl/>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10000</w:t>
            </w:r>
          </w:p>
        </w:tc>
        <w:tc>
          <w:tcPr>
            <w:tcW w:w="1199" w:type="dxa"/>
            <w:noWrap w:val="0"/>
            <w:vAlign w:val="center"/>
          </w:tcPr>
          <w:p>
            <w:pPr>
              <w:widowControl/>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lang w:val="en-US" w:eastAsia="zh-CN"/>
              </w:rPr>
              <w:t>100</w:t>
            </w:r>
            <w:r>
              <w:rPr>
                <w:rFonts w:hint="default" w:ascii="Times New Roman" w:hAnsi="Times New Roman" w:eastAsia="仿宋_GB2312" w:cs="Times New Roman"/>
                <w:bCs/>
                <w:sz w:val="24"/>
                <w:szCs w:val="24"/>
                <w:highlight w:val="none"/>
              </w:rPr>
              <w:t>%</w:t>
            </w:r>
          </w:p>
        </w:tc>
        <w:tc>
          <w:tcPr>
            <w:tcW w:w="1362" w:type="dxa"/>
            <w:noWrap w:val="0"/>
            <w:vAlign w:val="center"/>
          </w:tcPr>
          <w:p>
            <w:pPr>
              <w:widowControl/>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10000</w:t>
            </w:r>
          </w:p>
        </w:tc>
        <w:tc>
          <w:tcPr>
            <w:tcW w:w="1361" w:type="dxa"/>
            <w:noWrap w:val="0"/>
            <w:vAlign w:val="center"/>
          </w:tcPr>
          <w:p>
            <w:pPr>
              <w:widowControl/>
              <w:jc w:val="center"/>
              <w:textAlignment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lang w:val="en-US" w:eastAsia="zh-CN"/>
              </w:rPr>
              <w:t>100</w:t>
            </w:r>
            <w:r>
              <w:rPr>
                <w:rFonts w:hint="default" w:ascii="Times New Roman" w:hAnsi="Times New Roman" w:eastAsia="仿宋_GB2312" w:cs="Times New Roman"/>
                <w:bCs/>
                <w:sz w:val="24"/>
                <w:szCs w:val="24"/>
                <w:highlight w:val="none"/>
              </w:rPr>
              <w:t>%</w:t>
            </w:r>
          </w:p>
        </w:tc>
      </w:tr>
    </w:tbl>
    <w:p>
      <w:pPr>
        <w:rPr>
          <w:rFonts w:hint="default" w:ascii="Times New Roman" w:hAnsi="Times New Roman" w:cs="Times New Roman"/>
          <w:b/>
          <w:szCs w:val="21"/>
          <w:highlight w:val="none"/>
        </w:rPr>
      </w:pPr>
    </w:p>
    <w:p>
      <w:pPr>
        <w:numPr>
          <w:ilvl w:val="0"/>
          <w:numId w:val="1"/>
        </w:numPr>
        <w:ind w:firstLine="602"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董事、监事、高级管理人员和员工情况</w:t>
      </w:r>
    </w:p>
    <w:p>
      <w:pPr>
        <w:numPr>
          <w:ilvl w:val="0"/>
          <w:numId w:val="0"/>
        </w:numPr>
        <w:ind w:firstLine="602"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lang w:val="en-US" w:eastAsia="zh-CN"/>
        </w:rPr>
        <w:t>6.1</w:t>
      </w:r>
      <w:r>
        <w:rPr>
          <w:rFonts w:hint="default" w:ascii="Times New Roman" w:hAnsi="Times New Roman" w:eastAsia="仿宋_GB2312" w:cs="Times New Roman"/>
          <w:b/>
          <w:sz w:val="30"/>
          <w:szCs w:val="30"/>
          <w:highlight w:val="none"/>
        </w:rPr>
        <w:t>董事、监事、高级管理人员情况</w:t>
      </w:r>
    </w:p>
    <w:tbl>
      <w:tblPr>
        <w:tblStyle w:val="3"/>
        <w:tblW w:w="830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753"/>
        <w:gridCol w:w="1318"/>
        <w:gridCol w:w="2230"/>
        <w:gridCol w:w="300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vMerge w:val="restart"/>
            <w:tcBorders>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姓名</w:t>
            </w:r>
          </w:p>
        </w:tc>
        <w:tc>
          <w:tcPr>
            <w:tcW w:w="1318" w:type="dxa"/>
            <w:vMerge w:val="restart"/>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性别</w:t>
            </w:r>
          </w:p>
        </w:tc>
        <w:tc>
          <w:tcPr>
            <w:tcW w:w="2230" w:type="dxa"/>
            <w:vMerge w:val="restart"/>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出生年月</w:t>
            </w:r>
          </w:p>
        </w:tc>
        <w:tc>
          <w:tcPr>
            <w:tcW w:w="3007" w:type="dxa"/>
            <w:vMerge w:val="restart"/>
            <w:tcBorders>
              <w:left w:val="single" w:color="auto" w:sz="4" w:space="0"/>
              <w:bottom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在公司职务</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3" w:hRule="atLeast"/>
          <w:jc w:val="center"/>
        </w:trPr>
        <w:tc>
          <w:tcPr>
            <w:tcW w:w="1753" w:type="dxa"/>
            <w:vMerge w:val="continue"/>
            <w:tcBorders>
              <w:top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bCs/>
                <w:color w:val="auto"/>
                <w:kern w:val="0"/>
                <w:sz w:val="24"/>
                <w:szCs w:val="24"/>
                <w:highlight w:val="none"/>
              </w:rPr>
            </w:pPr>
          </w:p>
        </w:tc>
        <w:tc>
          <w:tcPr>
            <w:tcW w:w="13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bCs/>
                <w:color w:val="auto"/>
                <w:kern w:val="0"/>
                <w:sz w:val="24"/>
                <w:szCs w:val="24"/>
                <w:highlight w:val="none"/>
              </w:rPr>
            </w:pPr>
          </w:p>
        </w:tc>
        <w:tc>
          <w:tcPr>
            <w:tcW w:w="22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bCs/>
                <w:color w:val="auto"/>
                <w:kern w:val="0"/>
                <w:sz w:val="24"/>
                <w:szCs w:val="24"/>
                <w:highlight w:val="none"/>
              </w:rPr>
            </w:pPr>
          </w:p>
        </w:tc>
        <w:tc>
          <w:tcPr>
            <w:tcW w:w="3007" w:type="dxa"/>
            <w:vMerge w:val="continue"/>
            <w:tcBorders>
              <w:top w:val="single" w:color="auto" w:sz="4" w:space="0"/>
              <w:left w:val="single" w:color="auto" w:sz="4" w:space="0"/>
              <w:bottom w:val="single" w:color="auto" w:sz="4" w:space="0"/>
            </w:tcBorders>
            <w:noWrap w:val="0"/>
            <w:vAlign w:val="center"/>
          </w:tcPr>
          <w:p>
            <w:pPr>
              <w:widowControl/>
              <w:jc w:val="left"/>
              <w:rPr>
                <w:rFonts w:hint="default" w:ascii="Times New Roman" w:hAnsi="Times New Roman" w:eastAsia="仿宋_GB2312" w:cs="Times New Roman"/>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金庆洪</w:t>
            </w:r>
          </w:p>
        </w:tc>
        <w:tc>
          <w:tcPr>
            <w:tcW w:w="13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男</w:t>
            </w:r>
          </w:p>
        </w:tc>
        <w:tc>
          <w:tcPr>
            <w:tcW w:w="223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1966年1月</w:t>
            </w:r>
          </w:p>
        </w:tc>
        <w:tc>
          <w:tcPr>
            <w:tcW w:w="3007" w:type="dxa"/>
            <w:tcBorders>
              <w:top w:val="nil"/>
              <w:left w:val="nil"/>
              <w:bottom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董事长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陈余娟</w:t>
            </w:r>
          </w:p>
        </w:tc>
        <w:tc>
          <w:tcPr>
            <w:tcW w:w="13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女</w:t>
            </w:r>
          </w:p>
        </w:tc>
        <w:tc>
          <w:tcPr>
            <w:tcW w:w="223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1980年8月</w:t>
            </w:r>
          </w:p>
        </w:tc>
        <w:tc>
          <w:tcPr>
            <w:tcW w:w="3007" w:type="dxa"/>
            <w:tcBorders>
              <w:top w:val="nil"/>
              <w:left w:val="nil"/>
              <w:bottom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董事、</w:t>
            </w:r>
            <w:r>
              <w:rPr>
                <w:rFonts w:hint="default" w:ascii="Times New Roman" w:hAnsi="Times New Roman" w:eastAsia="仿宋_GB2312" w:cs="Times New Roman"/>
                <w:color w:val="auto"/>
                <w:kern w:val="0"/>
                <w:sz w:val="24"/>
                <w:szCs w:val="24"/>
                <w:highlight w:val="none"/>
              </w:rPr>
              <w:t>行长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ind w:firstLine="480" w:firstLineChars="20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邓兰平</w:t>
            </w:r>
          </w:p>
        </w:tc>
        <w:tc>
          <w:tcPr>
            <w:tcW w:w="13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男</w:t>
            </w:r>
          </w:p>
        </w:tc>
        <w:tc>
          <w:tcPr>
            <w:tcW w:w="223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1974年9月</w:t>
            </w:r>
          </w:p>
        </w:tc>
        <w:tc>
          <w:tcPr>
            <w:tcW w:w="3007" w:type="dxa"/>
            <w:tcBorders>
              <w:top w:val="nil"/>
              <w:left w:val="nil"/>
              <w:bottom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董事、副行长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ind w:firstLine="480" w:firstLineChars="20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胡天进</w:t>
            </w:r>
          </w:p>
        </w:tc>
        <w:tc>
          <w:tcPr>
            <w:tcW w:w="13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男</w:t>
            </w:r>
          </w:p>
        </w:tc>
        <w:tc>
          <w:tcPr>
            <w:tcW w:w="223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1985年4月</w:t>
            </w:r>
          </w:p>
        </w:tc>
        <w:tc>
          <w:tcPr>
            <w:tcW w:w="3007" w:type="dxa"/>
            <w:tcBorders>
              <w:top w:val="nil"/>
              <w:left w:val="nil"/>
              <w:bottom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董事、行长助理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章宜</w:t>
            </w:r>
          </w:p>
        </w:tc>
        <w:tc>
          <w:tcPr>
            <w:tcW w:w="13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女</w:t>
            </w:r>
          </w:p>
        </w:tc>
        <w:tc>
          <w:tcPr>
            <w:tcW w:w="223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1978年11月</w:t>
            </w:r>
          </w:p>
        </w:tc>
        <w:tc>
          <w:tcPr>
            <w:tcW w:w="3007" w:type="dxa"/>
            <w:tcBorders>
              <w:top w:val="nil"/>
              <w:left w:val="nil"/>
              <w:bottom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监事长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樊国华</w:t>
            </w:r>
          </w:p>
        </w:tc>
        <w:tc>
          <w:tcPr>
            <w:tcW w:w="13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男</w:t>
            </w:r>
          </w:p>
        </w:tc>
        <w:tc>
          <w:tcPr>
            <w:tcW w:w="223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1970年3月</w:t>
            </w:r>
          </w:p>
        </w:tc>
        <w:tc>
          <w:tcPr>
            <w:tcW w:w="3007" w:type="dxa"/>
            <w:tcBorders>
              <w:top w:val="nil"/>
              <w:left w:val="nil"/>
              <w:bottom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职工监事</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李思岚</w:t>
            </w:r>
          </w:p>
        </w:tc>
        <w:tc>
          <w:tcPr>
            <w:tcW w:w="13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女</w:t>
            </w:r>
          </w:p>
        </w:tc>
        <w:tc>
          <w:tcPr>
            <w:tcW w:w="223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1990年1月</w:t>
            </w:r>
          </w:p>
        </w:tc>
        <w:tc>
          <w:tcPr>
            <w:tcW w:w="3007" w:type="dxa"/>
            <w:tcBorders>
              <w:top w:val="nil"/>
              <w:left w:val="nil"/>
              <w:bottom w:val="single" w:color="auto" w:sz="4" w:space="0"/>
            </w:tcBorders>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职工监事</w:t>
            </w:r>
          </w:p>
        </w:tc>
      </w:tr>
    </w:tbl>
    <w:p>
      <w:pPr>
        <w:keepNext w:val="0"/>
        <w:keepLines w:val="0"/>
        <w:pageBreakBefore w:val="0"/>
        <w:widowControl w:val="0"/>
        <w:numPr>
          <w:ilvl w:val="0"/>
          <w:numId w:val="0"/>
        </w:numPr>
        <w:kinsoku/>
        <w:wordWrap/>
        <w:overflowPunct/>
        <w:topLinePunct w:val="0"/>
        <w:autoSpaceDE/>
        <w:autoSpaceDN/>
        <w:bidi w:val="0"/>
        <w:spacing w:line="560" w:lineRule="exact"/>
        <w:ind w:firstLine="602" w:firstLineChars="200"/>
        <w:textAlignment w:val="auto"/>
        <w:rPr>
          <w:rFonts w:hint="default" w:ascii="仿宋_GB2312" w:hAnsi="仿宋_GB2312" w:eastAsia="仿宋_GB2312" w:cs="仿宋_GB2312"/>
          <w:b/>
          <w:sz w:val="30"/>
          <w:szCs w:val="30"/>
          <w:highlight w:val="none"/>
          <w:lang w:val="en-US" w:eastAsia="zh-CN"/>
        </w:rPr>
      </w:pPr>
      <w:r>
        <w:rPr>
          <w:rFonts w:hint="default" w:ascii="Times New Roman" w:hAnsi="Times New Roman" w:eastAsia="仿宋_GB2312" w:cs="Times New Roman"/>
          <w:b/>
          <w:sz w:val="30"/>
          <w:szCs w:val="30"/>
          <w:highlight w:val="none"/>
          <w:lang w:val="en-US" w:eastAsia="zh-CN"/>
        </w:rPr>
        <w:t>6.2董事、监事、高级管理人员</w:t>
      </w:r>
      <w:r>
        <w:rPr>
          <w:rFonts w:hint="default" w:ascii="仿宋_GB2312" w:hAnsi="仿宋_GB2312" w:eastAsia="仿宋_GB2312" w:cs="仿宋_GB2312"/>
          <w:b/>
          <w:sz w:val="30"/>
          <w:szCs w:val="30"/>
          <w:highlight w:val="none"/>
          <w:lang w:val="en-US" w:eastAsia="zh-CN"/>
        </w:rPr>
        <w:t>的主要工作经历</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bCs/>
          <w:sz w:val="28"/>
          <w:szCs w:val="28"/>
          <w:highlight w:val="none"/>
        </w:rPr>
        <w:t>（一）董事</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val="0"/>
          <w:color w:val="000000"/>
          <w:sz w:val="30"/>
          <w:szCs w:val="30"/>
          <w:lang w:val="en-US" w:eastAsia="zh-CN"/>
        </w:rPr>
      </w:pPr>
      <w:r>
        <w:rPr>
          <w:rFonts w:hint="default" w:ascii="Times New Roman" w:hAnsi="Times New Roman" w:eastAsia="仿宋_GB2312" w:cs="Times New Roman"/>
          <w:bCs/>
          <w:sz w:val="30"/>
          <w:szCs w:val="30"/>
          <w:highlight w:val="none"/>
          <w:lang w:val="en-US" w:eastAsia="zh-CN"/>
        </w:rPr>
        <w:t>金庆洪</w:t>
      </w:r>
      <w:r>
        <w:rPr>
          <w:rFonts w:hint="default" w:ascii="Times New Roman" w:hAnsi="Times New Roman" w:eastAsia="仿宋_GB2312" w:cs="Times New Roman"/>
          <w:bCs/>
          <w:sz w:val="30"/>
          <w:szCs w:val="30"/>
          <w:highlight w:val="none"/>
        </w:rPr>
        <w:t>：</w:t>
      </w:r>
      <w:r>
        <w:rPr>
          <w:rFonts w:hint="default" w:ascii="Times New Roman" w:hAnsi="Times New Roman" w:eastAsia="仿宋_GB2312" w:cs="Times New Roman"/>
          <w:b w:val="0"/>
          <w:bCs w:val="0"/>
          <w:color w:val="000000"/>
          <w:sz w:val="30"/>
          <w:szCs w:val="30"/>
          <w:lang w:val="en-US" w:eastAsia="zh-CN"/>
        </w:rPr>
        <w:t>金庆洪：男，1966年01月生，中共党员，大学本科学历。</w:t>
      </w:r>
      <w:r>
        <w:rPr>
          <w:rFonts w:hint="eastAsia" w:ascii="Times New Roman" w:hAnsi="Times New Roman" w:eastAsia="仿宋_GB2312" w:cs="Times New Roman"/>
          <w:b w:val="0"/>
          <w:bCs w:val="0"/>
          <w:color w:val="000000"/>
          <w:sz w:val="30"/>
          <w:szCs w:val="30"/>
          <w:lang w:val="zh-CN" w:eastAsia="zh-CN"/>
        </w:rPr>
        <w:t>从事金融工作</w:t>
      </w:r>
      <w:r>
        <w:rPr>
          <w:rFonts w:hint="eastAsia" w:ascii="Times New Roman" w:hAnsi="Times New Roman" w:eastAsia="仿宋_GB2312" w:cs="Times New Roman"/>
          <w:b w:val="0"/>
          <w:bCs w:val="0"/>
          <w:color w:val="000000"/>
          <w:sz w:val="30"/>
          <w:szCs w:val="30"/>
          <w:lang w:val="en-US" w:eastAsia="zh-CN"/>
        </w:rPr>
        <w:t>27</w:t>
      </w:r>
      <w:r>
        <w:rPr>
          <w:rFonts w:hint="eastAsia" w:ascii="Times New Roman" w:hAnsi="Times New Roman" w:eastAsia="仿宋_GB2312" w:cs="Times New Roman"/>
          <w:b w:val="0"/>
          <w:bCs w:val="0"/>
          <w:color w:val="000000"/>
          <w:sz w:val="30"/>
          <w:szCs w:val="30"/>
          <w:lang w:val="zh-CN" w:eastAsia="zh-CN"/>
        </w:rPr>
        <w:t xml:space="preserve">年， </w:t>
      </w:r>
      <w:r>
        <w:rPr>
          <w:rFonts w:hint="eastAsia" w:ascii="Times New Roman" w:hAnsi="Times New Roman" w:eastAsia="仿宋_GB2312" w:cs="Times New Roman"/>
          <w:b w:val="0"/>
          <w:bCs w:val="0"/>
          <w:color w:val="000000"/>
          <w:sz w:val="30"/>
          <w:szCs w:val="30"/>
          <w:lang w:val="en-US" w:eastAsia="zh-CN"/>
        </w:rPr>
        <w:t>曾任兰溪市岩山中学任</w:t>
      </w:r>
      <w:r>
        <w:rPr>
          <w:rFonts w:hint="eastAsia" w:ascii="Times New Roman" w:hAnsi="Times New Roman" w:eastAsia="仿宋_GB2312" w:cs="Times New Roman"/>
          <w:b w:val="0"/>
          <w:bCs w:val="0"/>
          <w:color w:val="000000"/>
          <w:sz w:val="30"/>
          <w:szCs w:val="30"/>
          <w:lang w:val="zh-CN" w:eastAsia="zh-CN"/>
        </w:rPr>
        <w:t>数学老师</w:t>
      </w:r>
      <w:r>
        <w:rPr>
          <w:rFonts w:hint="eastAsia" w:ascii="Times New Roman" w:hAnsi="Times New Roman" w:eastAsia="仿宋_GB2312" w:cs="Times New Roman"/>
          <w:b w:val="0"/>
          <w:bCs w:val="0"/>
          <w:color w:val="000000"/>
          <w:sz w:val="30"/>
          <w:szCs w:val="30"/>
          <w:lang w:val="en-US" w:eastAsia="zh-CN"/>
        </w:rPr>
        <w:t>；</w:t>
      </w:r>
      <w:r>
        <w:rPr>
          <w:rFonts w:hint="eastAsia" w:ascii="Times New Roman" w:hAnsi="Times New Roman" w:eastAsia="仿宋_GB2312" w:cs="Times New Roman"/>
          <w:b w:val="0"/>
          <w:bCs w:val="0"/>
          <w:color w:val="000000"/>
          <w:sz w:val="30"/>
          <w:szCs w:val="30"/>
          <w:lang w:val="zh-CN" w:eastAsia="zh-CN"/>
        </w:rPr>
        <w:t>兰溪市第一中学任数学老师；</w:t>
      </w:r>
      <w:r>
        <w:rPr>
          <w:rFonts w:hint="eastAsia" w:ascii="Times New Roman" w:hAnsi="Times New Roman" w:eastAsia="仿宋_GB2312" w:cs="Times New Roman"/>
          <w:b w:val="0"/>
          <w:bCs w:val="0"/>
          <w:color w:val="000000"/>
          <w:sz w:val="30"/>
          <w:szCs w:val="30"/>
          <w:lang w:val="en-US" w:eastAsia="zh-CN"/>
        </w:rPr>
        <w:t>建行兰溪市支行先后任柜员、客户经理、延中分理处副主任（主持工作）、客户业务部副总经理、延中分理处主任、个人金融部总经理、延中支行行长；浙江兰溪越商村镇银行任副行长；浙江稠州商业银行金华分行先后从事兰溪支行副行长、行长、磐安支行行长；兰溪支行行长；现任重庆北碚稠州村镇银行担任党支部书记兼董事长。</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陈余娟</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女</w:t>
      </w:r>
      <w:r>
        <w:rPr>
          <w:rFonts w:hint="default" w:ascii="Times New Roman" w:hAnsi="Times New Roman" w:eastAsia="仿宋_GB2312" w:cs="Times New Roman"/>
          <w:sz w:val="30"/>
          <w:szCs w:val="30"/>
          <w:highlight w:val="none"/>
        </w:rPr>
        <w:t>，19</w:t>
      </w:r>
      <w:r>
        <w:rPr>
          <w:rFonts w:hint="default" w:ascii="Times New Roman" w:hAnsi="Times New Roman" w:eastAsia="仿宋_GB2312" w:cs="Times New Roman"/>
          <w:sz w:val="30"/>
          <w:szCs w:val="30"/>
          <w:highlight w:val="none"/>
          <w:lang w:val="en-US" w:eastAsia="zh-CN"/>
        </w:rPr>
        <w:t>80</w:t>
      </w:r>
      <w:r>
        <w:rPr>
          <w:rFonts w:hint="default" w:ascii="Times New Roman" w:hAnsi="Times New Roman" w:eastAsia="仿宋_GB2312" w:cs="Times New Roman"/>
          <w:sz w:val="30"/>
          <w:szCs w:val="30"/>
          <w:highlight w:val="none"/>
        </w:rPr>
        <w:t>年8月生，</w:t>
      </w:r>
      <w:r>
        <w:rPr>
          <w:rFonts w:hint="default" w:ascii="Times New Roman" w:hAnsi="Times New Roman" w:eastAsia="仿宋_GB2312" w:cs="Times New Roman"/>
          <w:sz w:val="30"/>
          <w:szCs w:val="30"/>
          <w:highlight w:val="none"/>
          <w:lang w:val="en-US" w:eastAsia="zh-CN"/>
        </w:rPr>
        <w:t>群众</w:t>
      </w:r>
      <w:r>
        <w:rPr>
          <w:rFonts w:hint="default" w:ascii="Times New Roman" w:hAnsi="Times New Roman" w:eastAsia="仿宋_GB2312" w:cs="Times New Roman"/>
          <w:sz w:val="30"/>
          <w:szCs w:val="30"/>
          <w:highlight w:val="none"/>
        </w:rPr>
        <w:t>，本科学历。从事金融工作</w:t>
      </w:r>
      <w:r>
        <w:rPr>
          <w:rFonts w:hint="default" w:ascii="Times New Roman" w:hAnsi="Times New Roman" w:eastAsia="仿宋_GB2312" w:cs="Times New Roman"/>
          <w:sz w:val="30"/>
          <w:szCs w:val="30"/>
          <w:highlight w:val="none"/>
          <w:lang w:val="en-US" w:eastAsia="zh-CN"/>
        </w:rPr>
        <w:t>24</w:t>
      </w:r>
      <w:r>
        <w:rPr>
          <w:rFonts w:hint="default" w:ascii="Times New Roman" w:hAnsi="Times New Roman" w:eastAsia="仿宋_GB2312" w:cs="Times New Roman"/>
          <w:sz w:val="30"/>
          <w:szCs w:val="30"/>
          <w:highlight w:val="none"/>
        </w:rPr>
        <w:t>年，曾任</w:t>
      </w:r>
      <w:r>
        <w:rPr>
          <w:rFonts w:hint="default" w:ascii="Times New Roman" w:hAnsi="Times New Roman" w:eastAsia="仿宋_GB2312" w:cs="Times New Roman"/>
          <w:sz w:val="30"/>
          <w:szCs w:val="30"/>
          <w:highlight w:val="none"/>
          <w:lang w:val="en-US" w:eastAsia="zh-CN"/>
        </w:rPr>
        <w:t>重庆农村商业银行忠县支行出纳、柜员、分理处主任，重庆忠县稠州村镇银行总经理、行长助理、副行长。现任重庆北碚稠州村镇银行董事、行长、</w:t>
      </w:r>
      <w:r>
        <w:rPr>
          <w:rFonts w:hint="default" w:ascii="Times New Roman" w:hAnsi="Times New Roman" w:eastAsia="仿宋_GB2312" w:cs="Times New Roman"/>
          <w:bCs/>
          <w:sz w:val="30"/>
          <w:szCs w:val="30"/>
          <w:highlight w:val="none"/>
          <w:lang w:val="en-US" w:eastAsia="zh-CN"/>
        </w:rPr>
        <w:t>工会主席</w:t>
      </w:r>
      <w:r>
        <w:rPr>
          <w:rFonts w:hint="default" w:ascii="Times New Roman" w:hAnsi="Times New Roman" w:eastAsia="仿宋_GB2312" w:cs="Times New Roman"/>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邓兰平</w:t>
      </w:r>
      <w:r>
        <w:rPr>
          <w:rFonts w:hint="default" w:ascii="Times New Roman" w:hAnsi="Times New Roman" w:eastAsia="仿宋_GB2312" w:cs="Times New Roman"/>
          <w:sz w:val="30"/>
          <w:szCs w:val="30"/>
          <w:highlight w:val="none"/>
        </w:rPr>
        <w:t>：男，197</w:t>
      </w:r>
      <w:r>
        <w:rPr>
          <w:rFonts w:hint="default"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rPr>
        <w:t>年</w:t>
      </w:r>
      <w:r>
        <w:rPr>
          <w:rFonts w:hint="default" w:ascii="Times New Roman" w:hAnsi="Times New Roman" w:eastAsia="仿宋_GB2312" w:cs="Times New Roman"/>
          <w:sz w:val="30"/>
          <w:szCs w:val="30"/>
          <w:highlight w:val="none"/>
          <w:lang w:val="en-US" w:eastAsia="zh-CN"/>
        </w:rPr>
        <w:t>9</w:t>
      </w:r>
      <w:r>
        <w:rPr>
          <w:rFonts w:hint="default" w:ascii="Times New Roman" w:hAnsi="Times New Roman" w:eastAsia="仿宋_GB2312" w:cs="Times New Roman"/>
          <w:sz w:val="30"/>
          <w:szCs w:val="30"/>
          <w:highlight w:val="none"/>
        </w:rPr>
        <w:t>月生，中共党员，</w:t>
      </w:r>
      <w:r>
        <w:rPr>
          <w:rFonts w:hint="default" w:ascii="Times New Roman" w:hAnsi="Times New Roman" w:eastAsia="仿宋_GB2312" w:cs="Times New Roman"/>
          <w:sz w:val="30"/>
          <w:szCs w:val="30"/>
          <w:highlight w:val="none"/>
          <w:lang w:val="en-US" w:eastAsia="zh-CN"/>
        </w:rPr>
        <w:t>本科</w:t>
      </w:r>
      <w:r>
        <w:rPr>
          <w:rFonts w:hint="default" w:ascii="Times New Roman" w:hAnsi="Times New Roman" w:eastAsia="仿宋_GB2312" w:cs="Times New Roman"/>
          <w:sz w:val="30"/>
          <w:szCs w:val="30"/>
          <w:highlight w:val="none"/>
        </w:rPr>
        <w:t>学历。从事金融工作</w:t>
      </w:r>
      <w:r>
        <w:rPr>
          <w:rFonts w:hint="default" w:ascii="Times New Roman" w:hAnsi="Times New Roman" w:eastAsia="仿宋_GB2312" w:cs="Times New Roman"/>
          <w:sz w:val="30"/>
          <w:szCs w:val="30"/>
          <w:highlight w:val="none"/>
          <w:lang w:val="en-US" w:eastAsia="zh-CN"/>
        </w:rPr>
        <w:t>30</w:t>
      </w:r>
      <w:r>
        <w:rPr>
          <w:rFonts w:hint="default" w:ascii="Times New Roman" w:hAnsi="Times New Roman" w:eastAsia="仿宋_GB2312" w:cs="Times New Roman"/>
          <w:sz w:val="30"/>
          <w:szCs w:val="30"/>
          <w:highlight w:val="none"/>
        </w:rPr>
        <w:t>年，曾任</w:t>
      </w:r>
      <w:r>
        <w:rPr>
          <w:rFonts w:hint="default" w:ascii="Times New Roman" w:hAnsi="Times New Roman" w:eastAsia="仿宋_GB2312" w:cs="Times New Roman"/>
          <w:sz w:val="30"/>
          <w:szCs w:val="30"/>
          <w:highlight w:val="none"/>
          <w:lang w:val="en-US" w:eastAsia="zh-CN"/>
        </w:rPr>
        <w:t>重庆农村商业银行城口支行分理处主任，中银富登村镇银行董事、行长、副行长、风险部主管。现任重庆北碚稠州村镇银行董事、副行长</w:t>
      </w:r>
      <w:r>
        <w:rPr>
          <w:rFonts w:hint="default" w:ascii="Times New Roman" w:hAnsi="Times New Roman" w:eastAsia="仿宋_GB2312" w:cs="Times New Roman"/>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胡天进</w:t>
      </w:r>
      <w:r>
        <w:rPr>
          <w:rFonts w:hint="default" w:ascii="Times New Roman" w:hAnsi="Times New Roman" w:eastAsia="仿宋_GB2312" w:cs="Times New Roman"/>
          <w:sz w:val="30"/>
          <w:szCs w:val="30"/>
          <w:highlight w:val="none"/>
        </w:rPr>
        <w:t>：男，19</w:t>
      </w:r>
      <w:r>
        <w:rPr>
          <w:rFonts w:hint="default" w:ascii="Times New Roman" w:hAnsi="Times New Roman" w:eastAsia="仿宋_GB2312" w:cs="Times New Roman"/>
          <w:sz w:val="30"/>
          <w:szCs w:val="30"/>
          <w:highlight w:val="none"/>
          <w:lang w:val="en-US" w:eastAsia="zh-CN"/>
        </w:rPr>
        <w:t>85</w:t>
      </w:r>
      <w:r>
        <w:rPr>
          <w:rFonts w:hint="default" w:ascii="Times New Roman" w:hAnsi="Times New Roman" w:eastAsia="仿宋_GB2312" w:cs="Times New Roman"/>
          <w:sz w:val="30"/>
          <w:szCs w:val="30"/>
          <w:highlight w:val="none"/>
        </w:rPr>
        <w:t>年</w:t>
      </w:r>
      <w:r>
        <w:rPr>
          <w:rFonts w:hint="default"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rPr>
        <w:t>月生，</w:t>
      </w:r>
      <w:r>
        <w:rPr>
          <w:rFonts w:hint="default" w:ascii="Times New Roman" w:hAnsi="Times New Roman" w:eastAsia="仿宋_GB2312" w:cs="Times New Roman"/>
          <w:sz w:val="30"/>
          <w:szCs w:val="30"/>
          <w:highlight w:val="none"/>
          <w:lang w:val="en-US" w:eastAsia="zh-CN"/>
        </w:rPr>
        <w:t>群众，本科</w:t>
      </w:r>
      <w:r>
        <w:rPr>
          <w:rFonts w:hint="default" w:ascii="Times New Roman" w:hAnsi="Times New Roman" w:eastAsia="仿宋_GB2312" w:cs="Times New Roman"/>
          <w:sz w:val="30"/>
          <w:szCs w:val="30"/>
          <w:highlight w:val="none"/>
        </w:rPr>
        <w:t>学历</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从事金融工作13年，曾任浙江稠州商业银行金华分行客户经理、副总经理（主持工作）、支行行长助理。现任重庆北碚稠州村镇银行董事、行长助理。</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
          <w:bCs/>
          <w:sz w:val="28"/>
          <w:szCs w:val="28"/>
          <w:highlight w:val="none"/>
        </w:rPr>
        <w:t>（二）监事</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章宜</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val="en-US" w:eastAsia="zh-CN"/>
        </w:rPr>
        <w:t>女</w:t>
      </w:r>
      <w:r>
        <w:rPr>
          <w:rFonts w:hint="default" w:ascii="Times New Roman" w:hAnsi="Times New Roman" w:eastAsia="仿宋_GB2312" w:cs="Times New Roman"/>
          <w:sz w:val="30"/>
          <w:szCs w:val="30"/>
          <w:highlight w:val="none"/>
        </w:rPr>
        <w:t>，19</w:t>
      </w:r>
      <w:r>
        <w:rPr>
          <w:rFonts w:hint="eastAsia" w:ascii="Times New Roman" w:hAnsi="Times New Roman" w:eastAsia="仿宋_GB2312" w:cs="Times New Roman"/>
          <w:sz w:val="30"/>
          <w:szCs w:val="30"/>
          <w:highlight w:val="none"/>
          <w:lang w:val="en-US" w:eastAsia="zh-CN"/>
        </w:rPr>
        <w:t>78</w:t>
      </w:r>
      <w:r>
        <w:rPr>
          <w:rFonts w:hint="default" w:ascii="Times New Roman" w:hAnsi="Times New Roman" w:eastAsia="仿宋_GB2312" w:cs="Times New Roman"/>
          <w:sz w:val="30"/>
          <w:szCs w:val="30"/>
          <w:highlight w:val="none"/>
        </w:rPr>
        <w:t>年</w:t>
      </w:r>
      <w:r>
        <w:rPr>
          <w:rFonts w:hint="eastAsia" w:ascii="Times New Roman" w:hAnsi="Times New Roman" w:eastAsia="仿宋_GB2312" w:cs="Times New Roman"/>
          <w:sz w:val="30"/>
          <w:szCs w:val="30"/>
          <w:highlight w:val="none"/>
          <w:lang w:val="en-US" w:eastAsia="zh-CN"/>
        </w:rPr>
        <w:t>11</w:t>
      </w:r>
      <w:r>
        <w:rPr>
          <w:rFonts w:hint="default" w:ascii="Times New Roman" w:hAnsi="Times New Roman" w:eastAsia="仿宋_GB2312" w:cs="Times New Roman"/>
          <w:sz w:val="30"/>
          <w:szCs w:val="30"/>
          <w:highlight w:val="none"/>
        </w:rPr>
        <w:t>月生，</w:t>
      </w:r>
      <w:r>
        <w:rPr>
          <w:rFonts w:hint="eastAsia" w:ascii="Times New Roman" w:hAnsi="Times New Roman" w:eastAsia="仿宋_GB2312" w:cs="Times New Roman"/>
          <w:sz w:val="30"/>
          <w:szCs w:val="30"/>
          <w:highlight w:val="none"/>
          <w:lang w:val="en-US" w:eastAsia="zh-CN"/>
        </w:rPr>
        <w:t>群众</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val="en-US" w:eastAsia="zh-CN"/>
        </w:rPr>
        <w:t>本科</w:t>
      </w:r>
      <w:r>
        <w:rPr>
          <w:rFonts w:hint="default" w:ascii="Times New Roman" w:hAnsi="Times New Roman" w:eastAsia="仿宋_GB2312" w:cs="Times New Roman"/>
          <w:sz w:val="30"/>
          <w:szCs w:val="30"/>
          <w:highlight w:val="none"/>
        </w:rPr>
        <w:t>学历，</w:t>
      </w:r>
      <w:r>
        <w:rPr>
          <w:rFonts w:hint="eastAsia" w:ascii="Times New Roman" w:hAnsi="Times New Roman" w:eastAsia="仿宋_GB2312" w:cs="Times New Roman"/>
          <w:sz w:val="30"/>
          <w:szCs w:val="30"/>
          <w:highlight w:val="none"/>
          <w:lang w:val="en-US" w:eastAsia="zh-CN"/>
        </w:rPr>
        <w:t>中级</w:t>
      </w:r>
      <w:r>
        <w:rPr>
          <w:rFonts w:hint="default" w:ascii="Times New Roman" w:hAnsi="Times New Roman" w:eastAsia="仿宋_GB2312" w:cs="Times New Roman"/>
          <w:sz w:val="30"/>
          <w:szCs w:val="30"/>
          <w:highlight w:val="none"/>
        </w:rPr>
        <w:t>经济师。从事金融工作</w:t>
      </w:r>
      <w:r>
        <w:rPr>
          <w:rFonts w:hint="eastAsia" w:ascii="Times New Roman" w:hAnsi="Times New Roman" w:eastAsia="仿宋_GB2312" w:cs="Times New Roman"/>
          <w:sz w:val="30"/>
          <w:szCs w:val="30"/>
          <w:highlight w:val="none"/>
          <w:lang w:val="en-US" w:eastAsia="zh-CN"/>
        </w:rPr>
        <w:t>26</w:t>
      </w:r>
      <w:r>
        <w:rPr>
          <w:rFonts w:hint="default" w:ascii="Times New Roman" w:hAnsi="Times New Roman" w:eastAsia="仿宋_GB2312" w:cs="Times New Roman"/>
          <w:sz w:val="30"/>
          <w:szCs w:val="30"/>
          <w:highlight w:val="none"/>
        </w:rPr>
        <w:t>年，曾任</w:t>
      </w:r>
      <w:r>
        <w:rPr>
          <w:rFonts w:hint="eastAsia" w:ascii="Times New Roman" w:hAnsi="Times New Roman" w:eastAsia="仿宋_GB2312" w:cs="Times New Roman"/>
          <w:sz w:val="30"/>
          <w:szCs w:val="30"/>
          <w:highlight w:val="none"/>
          <w:lang w:val="en-US" w:eastAsia="zh-CN"/>
        </w:rPr>
        <w:t>中国工商银行柜员，浙江稠州商业银行金华分行会计检辅、中心主任、营业经理、主任、总经理助理（主持工作）。现任重庆北碚稠州村镇银行监事长。</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val="en-US" w:eastAsia="zh-CN"/>
        </w:rPr>
        <w:t>樊国华</w:t>
      </w:r>
      <w:r>
        <w:rPr>
          <w:rFonts w:hint="default" w:ascii="Times New Roman" w:hAnsi="Times New Roman" w:eastAsia="仿宋_GB2312" w:cs="Times New Roman"/>
          <w:sz w:val="30"/>
          <w:szCs w:val="30"/>
          <w:highlight w:val="none"/>
        </w:rPr>
        <w:t>：男，19</w:t>
      </w:r>
      <w:r>
        <w:rPr>
          <w:rFonts w:hint="eastAsia" w:ascii="Times New Roman" w:hAnsi="Times New Roman" w:eastAsia="仿宋_GB2312" w:cs="Times New Roman"/>
          <w:sz w:val="30"/>
          <w:szCs w:val="30"/>
          <w:highlight w:val="none"/>
          <w:lang w:val="en-US" w:eastAsia="zh-CN"/>
        </w:rPr>
        <w:t>70</w:t>
      </w:r>
      <w:r>
        <w:rPr>
          <w:rFonts w:hint="default" w:ascii="Times New Roman" w:hAnsi="Times New Roman" w:eastAsia="仿宋_GB2312" w:cs="Times New Roman"/>
          <w:sz w:val="30"/>
          <w:szCs w:val="30"/>
          <w:highlight w:val="none"/>
        </w:rPr>
        <w:t>年</w:t>
      </w:r>
      <w:r>
        <w:rPr>
          <w:rFonts w:hint="eastAsia"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rPr>
        <w:t>月生，中共党员，</w:t>
      </w:r>
      <w:r>
        <w:rPr>
          <w:rFonts w:hint="eastAsia" w:ascii="Times New Roman" w:hAnsi="Times New Roman" w:eastAsia="仿宋_GB2312" w:cs="Times New Roman"/>
          <w:sz w:val="30"/>
          <w:szCs w:val="30"/>
          <w:highlight w:val="none"/>
          <w:lang w:val="en-US" w:eastAsia="zh-CN"/>
        </w:rPr>
        <w:t>本科</w:t>
      </w:r>
      <w:r>
        <w:rPr>
          <w:rFonts w:hint="default" w:ascii="Times New Roman" w:hAnsi="Times New Roman" w:eastAsia="仿宋_GB2312" w:cs="Times New Roman"/>
          <w:sz w:val="30"/>
          <w:szCs w:val="30"/>
          <w:highlight w:val="none"/>
        </w:rPr>
        <w:t>学历</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lang w:val="en-US" w:eastAsia="zh-CN"/>
        </w:rPr>
        <w:t>从事金融工作31年，曾任交通银行北碚支行客户经理，重庆北碚稠州村镇银行办公室主任、营业部总经理、普惠金融部经理。现任重庆北碚稠州村镇银行职工监事、普惠金融部经理</w:t>
      </w:r>
      <w:r>
        <w:rPr>
          <w:rFonts w:hint="default" w:ascii="Times New Roman" w:hAnsi="Times New Roman" w:eastAsia="仿宋_GB2312" w:cs="Times New Roman"/>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李思岚</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val="en-US" w:eastAsia="zh-CN"/>
        </w:rPr>
        <w:t>女</w:t>
      </w:r>
      <w:r>
        <w:rPr>
          <w:rFonts w:hint="default" w:ascii="Times New Roman" w:hAnsi="Times New Roman" w:eastAsia="仿宋_GB2312" w:cs="Times New Roman"/>
          <w:sz w:val="30"/>
          <w:szCs w:val="30"/>
          <w:highlight w:val="none"/>
        </w:rPr>
        <w:t>，19</w:t>
      </w:r>
      <w:r>
        <w:rPr>
          <w:rFonts w:hint="eastAsia" w:ascii="Times New Roman" w:hAnsi="Times New Roman" w:eastAsia="仿宋_GB2312" w:cs="Times New Roman"/>
          <w:sz w:val="30"/>
          <w:szCs w:val="30"/>
          <w:highlight w:val="none"/>
          <w:lang w:val="en-US" w:eastAsia="zh-CN"/>
        </w:rPr>
        <w:t>90</w:t>
      </w:r>
      <w:r>
        <w:rPr>
          <w:rFonts w:hint="default" w:ascii="Times New Roman" w:hAnsi="Times New Roman" w:eastAsia="仿宋_GB2312" w:cs="Times New Roman"/>
          <w:sz w:val="30"/>
          <w:szCs w:val="30"/>
          <w:highlight w:val="none"/>
        </w:rPr>
        <w:t>年</w:t>
      </w:r>
      <w:r>
        <w:rPr>
          <w:rFonts w:hint="eastAsia" w:ascii="Times New Roman" w:hAnsi="Times New Roman" w:eastAsia="仿宋_GB2312" w:cs="Times New Roman"/>
          <w:sz w:val="30"/>
          <w:szCs w:val="30"/>
          <w:highlight w:val="none"/>
          <w:lang w:val="en-US" w:eastAsia="zh-CN"/>
        </w:rPr>
        <w:t>1</w:t>
      </w:r>
      <w:r>
        <w:rPr>
          <w:rFonts w:hint="default" w:ascii="Times New Roman" w:hAnsi="Times New Roman" w:eastAsia="仿宋_GB2312" w:cs="Times New Roman"/>
          <w:sz w:val="30"/>
          <w:szCs w:val="30"/>
          <w:highlight w:val="none"/>
        </w:rPr>
        <w:t>月出生，本科学历。</w:t>
      </w:r>
      <w:r>
        <w:rPr>
          <w:rFonts w:hint="eastAsia" w:ascii="Times New Roman" w:hAnsi="Times New Roman" w:eastAsia="仿宋_GB2312" w:cs="Times New Roman"/>
          <w:sz w:val="30"/>
          <w:szCs w:val="30"/>
          <w:highlight w:val="none"/>
          <w:lang w:val="en-US" w:eastAsia="zh-CN"/>
        </w:rPr>
        <w:t>从事金融工作13年，曾任重庆北碚稠州村镇银行柜员、财务统计岗、财务管理岗。现任重庆北碚稠州村镇银行职工监事、财务管理岗。</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bCs/>
          <w:sz w:val="28"/>
          <w:szCs w:val="28"/>
          <w:highlight w:val="none"/>
        </w:rPr>
        <w:t>（三）高级管理人员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val="en-US" w:eastAsia="zh-CN"/>
        </w:rPr>
        <w:t>金庆洪</w:t>
      </w:r>
      <w:r>
        <w:rPr>
          <w:rFonts w:hint="default" w:ascii="Times New Roman" w:hAnsi="Times New Roman" w:eastAsia="仿宋_GB2312" w:cs="Times New Roman"/>
          <w:sz w:val="30"/>
          <w:szCs w:val="30"/>
          <w:highlight w:val="none"/>
        </w:rPr>
        <w:t>：个人简历详见本行董事简历部分。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val="en-US" w:eastAsia="zh-CN"/>
        </w:rPr>
        <w:t>陈余娟</w:t>
      </w:r>
      <w:r>
        <w:rPr>
          <w:rFonts w:hint="default" w:ascii="Times New Roman" w:hAnsi="Times New Roman" w:eastAsia="仿宋_GB2312" w:cs="Times New Roman"/>
          <w:sz w:val="30"/>
          <w:szCs w:val="30"/>
          <w:highlight w:val="none"/>
        </w:rPr>
        <w:t>：个人简历详见本行董事简历部分。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val="en-US" w:eastAsia="zh-CN"/>
        </w:rPr>
        <w:t>邓兰平：</w:t>
      </w:r>
      <w:r>
        <w:rPr>
          <w:rFonts w:hint="default" w:ascii="Times New Roman" w:hAnsi="Times New Roman" w:eastAsia="仿宋_GB2312" w:cs="Times New Roman"/>
          <w:sz w:val="30"/>
          <w:szCs w:val="30"/>
          <w:highlight w:val="none"/>
        </w:rPr>
        <w:t>个人简历详见本行董事简历部分。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val="en-US" w:eastAsia="zh-CN"/>
        </w:rPr>
        <w:t>胡天进：</w:t>
      </w:r>
      <w:r>
        <w:rPr>
          <w:rFonts w:hint="default" w:ascii="Times New Roman" w:hAnsi="Times New Roman" w:eastAsia="仿宋_GB2312" w:cs="Times New Roman"/>
          <w:sz w:val="30"/>
          <w:szCs w:val="30"/>
          <w:highlight w:val="none"/>
        </w:rPr>
        <w:t>个人简历详见本行董事简历部分。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王冬：男，1987年6月出生，本科学历。从事经济工资17年，金融工作12年，曾任重庆谛威会计师事务所审计项目经理，重庆银行贵阳分行部门主管、总经理，现任重庆北碚稠州村镇银行运营管理部总经理。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刘智明：男，1987年8月出生，专科学历。从事金融工作8年，曾任浙江稠州商业银行金华分行客户经理，重庆北碚稠州村镇银行静观支行普惠金融部经理。现任重庆北碚稠州村镇银行营业部副总经理（主持工作）。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 xml:space="preserve"> 杨彬：男，1987年12月出生，中共党员，本科学历。从事金融工作14年，曾任浙江稠州商业银行金华分行支行行长助理、副行长、小微金融部经理。现任重庆北碚稠州村镇银行蔡家支行行长。</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胡佳：男，1990年2月出生，本科学历。从事金融工作11年，曾任重庆忠县稠州村镇银行行政文秘、客户经理，重庆北碚稠州村镇银行蔡家支行普惠金融部经理、支行行长、营业部副总经理（主持工作），现任重庆北碚稠州村镇银行歇马支行行长助理（主持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黄飞：男，1986年1月出生，专科学历。从事金融工作13年，曾任重庆农村商业银行职员，重庆忠县稠州村镇银行客户经理，重庆北碚稠州村镇银行普惠金融部经理、歇马支行行长。现任重庆北碚稠州村镇银行静观支行行长。</w:t>
      </w:r>
    </w:p>
    <w:p>
      <w:pPr>
        <w:keepNext w:val="0"/>
        <w:keepLines w:val="0"/>
        <w:pageBreakBefore w:val="0"/>
        <w:widowControl w:val="0"/>
        <w:numPr>
          <w:ilvl w:val="0"/>
          <w:numId w:val="0"/>
        </w:numPr>
        <w:kinsoku/>
        <w:wordWrap/>
        <w:overflowPunct/>
        <w:topLinePunct w:val="0"/>
        <w:autoSpaceDE/>
        <w:autoSpaceDN/>
        <w:bidi w:val="0"/>
        <w:spacing w:line="560" w:lineRule="exact"/>
        <w:ind w:firstLine="602" w:firstLineChars="200"/>
        <w:textAlignment w:val="auto"/>
        <w:rPr>
          <w:rFonts w:hint="default" w:ascii="仿宋_GB2312" w:hAnsi="仿宋_GB2312" w:eastAsia="仿宋_GB2312" w:cs="仿宋_GB2312"/>
          <w:b/>
          <w:sz w:val="30"/>
          <w:szCs w:val="30"/>
          <w:highlight w:val="none"/>
          <w:lang w:val="en-US" w:eastAsia="zh-CN"/>
        </w:rPr>
      </w:pPr>
      <w:r>
        <w:rPr>
          <w:rFonts w:hint="eastAsia" w:ascii="仿宋_GB2312" w:hAnsi="仿宋_GB2312" w:eastAsia="仿宋_GB2312" w:cs="仿宋_GB2312"/>
          <w:b/>
          <w:sz w:val="30"/>
          <w:szCs w:val="30"/>
          <w:highlight w:val="none"/>
          <w:lang w:val="en-US" w:eastAsia="zh-CN"/>
        </w:rPr>
        <w:t>6.3</w:t>
      </w:r>
      <w:r>
        <w:rPr>
          <w:rFonts w:hint="default" w:ascii="仿宋_GB2312" w:hAnsi="仿宋_GB2312" w:eastAsia="仿宋_GB2312" w:cs="仿宋_GB2312"/>
          <w:b/>
          <w:sz w:val="30"/>
          <w:szCs w:val="30"/>
          <w:highlight w:val="none"/>
          <w:lang w:val="en-US" w:eastAsia="zh-CN"/>
        </w:rPr>
        <w:t>薪酬管理情况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仿宋_GB2312" w:cs="Times New Roman"/>
          <w:b/>
          <w:kern w:val="0"/>
          <w:sz w:val="28"/>
          <w:szCs w:val="28"/>
          <w:highlight w:val="none"/>
        </w:rPr>
      </w:pPr>
      <w:r>
        <w:rPr>
          <w:rFonts w:hint="default" w:ascii="Times New Roman" w:hAnsi="Times New Roman" w:eastAsia="仿宋_GB2312" w:cs="Times New Roman"/>
          <w:b/>
          <w:kern w:val="0"/>
          <w:sz w:val="28"/>
          <w:szCs w:val="28"/>
          <w:highlight w:val="none"/>
        </w:rPr>
        <w:t>（一）薪酬管理架构及决策程序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本公司薪酬管理组织架构包括股东</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lang w:val="en-US" w:eastAsia="zh-CN"/>
        </w:rPr>
        <w:t>100%发起行控股</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rPr>
        <w:t>、董事会、监事会及高级管理层四个层面。在决策程序方面，本公司董事、监事的薪酬标准及薪酬制度由股东决定；董事会按照国家有关法律和政策规定，负责公司薪酬管理制度和相关政策的制订，并对高级管理人员按年度进行绩效考核，决定高级管理人员薪酬标准；监事会负责监督董事、监事和高级管理人员的履职情况考核，按年度进行考核评价，并将董事及监事的考核结果向股东大会报告；高级管理层负责组织实施董事会薪酬管理方面的决议，并接受董事会管理和监事会监督。董事会下设薪酬与考核委员会，具体负责制定本公司董事及高级管理人员的考核标准并进行考核；负责制定、审查董事及高级管理人员的薪酬政策与方案，对董事会负责。</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仿宋_GB2312" w:cs="Times New Roman"/>
          <w:b/>
          <w:kern w:val="0"/>
          <w:sz w:val="28"/>
          <w:szCs w:val="28"/>
          <w:highlight w:val="none"/>
        </w:rPr>
      </w:pPr>
      <w:r>
        <w:rPr>
          <w:rFonts w:hint="default" w:ascii="Times New Roman" w:hAnsi="Times New Roman" w:eastAsia="仿宋_GB2312" w:cs="Times New Roman"/>
          <w:b/>
          <w:kern w:val="0"/>
          <w:sz w:val="28"/>
          <w:szCs w:val="28"/>
          <w:highlight w:val="none"/>
        </w:rPr>
        <w:t>（二）薪酬总量和结构</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本公司每年根据机构规模、经营业绩等情况制定年度薪酬预算方案，年度预算总额实行严格管控，因机构或人员编制新增的，按实追加相应薪酬费用。本公司薪酬包含基础薪酬、绩效薪酬、各项福利性收入，其中，基础薪酬和绩效薪酬占比严格按指引要求执行，绩效薪酬实行平时预发，年底考核后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仿宋_GB2312" w:cs="Times New Roman"/>
          <w:b/>
          <w:kern w:val="0"/>
          <w:sz w:val="28"/>
          <w:szCs w:val="28"/>
          <w:highlight w:val="none"/>
        </w:rPr>
      </w:pPr>
      <w:r>
        <w:rPr>
          <w:rFonts w:hint="eastAsia" w:ascii="Times New Roman" w:hAnsi="Times New Roman" w:eastAsia="仿宋_GB2312" w:cs="Times New Roman"/>
          <w:b/>
          <w:kern w:val="0"/>
          <w:sz w:val="28"/>
          <w:szCs w:val="28"/>
          <w:highlight w:val="none"/>
          <w:lang w:eastAsia="zh-CN"/>
        </w:rPr>
        <w:t>（</w:t>
      </w:r>
      <w:r>
        <w:rPr>
          <w:rFonts w:hint="eastAsia" w:ascii="Times New Roman" w:hAnsi="Times New Roman" w:eastAsia="仿宋_GB2312" w:cs="Times New Roman"/>
          <w:b/>
          <w:kern w:val="0"/>
          <w:sz w:val="28"/>
          <w:szCs w:val="28"/>
          <w:highlight w:val="none"/>
          <w:lang w:val="en-US" w:eastAsia="zh-CN"/>
        </w:rPr>
        <w:t>三</w:t>
      </w:r>
      <w:r>
        <w:rPr>
          <w:rFonts w:hint="eastAsia" w:ascii="Times New Roman" w:hAnsi="Times New Roman" w:eastAsia="仿宋_GB2312" w:cs="Times New Roman"/>
          <w:b/>
          <w:kern w:val="0"/>
          <w:sz w:val="28"/>
          <w:szCs w:val="28"/>
          <w:highlight w:val="none"/>
          <w:lang w:eastAsia="zh-CN"/>
        </w:rPr>
        <w:t>）</w:t>
      </w:r>
      <w:r>
        <w:rPr>
          <w:rFonts w:hint="default" w:ascii="Times New Roman" w:hAnsi="Times New Roman" w:eastAsia="仿宋_GB2312" w:cs="Times New Roman"/>
          <w:b/>
          <w:kern w:val="0"/>
          <w:sz w:val="28"/>
          <w:szCs w:val="28"/>
          <w:highlight w:val="none"/>
        </w:rPr>
        <w:t>董事会、高级管理层及重要岗位人员薪酬信息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在本公司领取薪酬的董事、监事、高级管理人员及重要岗位管理人员共1</w:t>
      </w:r>
      <w:r>
        <w:rPr>
          <w:rFonts w:hint="eastAsia"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rPr>
        <w:t>人，</w:t>
      </w:r>
      <w:r>
        <w:rPr>
          <w:rFonts w:hint="eastAsia" w:ascii="Times New Roman" w:hAnsi="Times New Roman" w:eastAsia="仿宋_GB2312" w:cs="Times New Roman"/>
          <w:sz w:val="30"/>
          <w:szCs w:val="30"/>
          <w:highlight w:val="none"/>
          <w:lang w:val="en-US" w:eastAsia="zh-CN"/>
        </w:rPr>
        <w:t>领取的总薪酬（税前）为210.01万元，</w:t>
      </w:r>
      <w:r>
        <w:rPr>
          <w:rFonts w:hint="default" w:ascii="Times New Roman" w:hAnsi="Times New Roman" w:eastAsia="仿宋_GB2312" w:cs="Times New Roman"/>
          <w:sz w:val="30"/>
          <w:szCs w:val="30"/>
          <w:highlight w:val="none"/>
        </w:rPr>
        <w:t>股东董事、独立董事、股东监事及外部监事均不在本公司领取薪酬。董监事、高级管理人员及重要岗位管理人员年度薪酬结构分布情况如下：</w:t>
      </w:r>
    </w:p>
    <w:tbl>
      <w:tblPr>
        <w:tblStyle w:val="3"/>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30"/>
        <w:gridCol w:w="45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年度报酬总额（税前）</w:t>
            </w:r>
          </w:p>
        </w:tc>
        <w:tc>
          <w:tcPr>
            <w:tcW w:w="4530" w:type="dxa"/>
            <w:noWrap w:val="0"/>
            <w:vAlign w:val="center"/>
          </w:tcPr>
          <w:p>
            <w:pPr>
              <w:widowControl/>
              <w:spacing w:line="320" w:lineRule="exact"/>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报酬数在15万元以上</w:t>
            </w:r>
          </w:p>
        </w:tc>
        <w:tc>
          <w:tcPr>
            <w:tcW w:w="4530" w:type="dxa"/>
            <w:noWrap w:val="0"/>
            <w:vAlign w:val="center"/>
          </w:tcPr>
          <w:p>
            <w:pPr>
              <w:widowControl/>
              <w:spacing w:line="320" w:lineRule="exact"/>
              <w:jc w:val="center"/>
              <w:rPr>
                <w:rFonts w:hint="default" w:ascii="Times New Roman" w:hAnsi="Times New Roman" w:eastAsia="仿宋_GB2312" w:cs="Times New Roman"/>
                <w:kern w:val="0"/>
                <w:sz w:val="24"/>
                <w:szCs w:val="24"/>
                <w:highlight w:val="none"/>
                <w:lang w:eastAsia="zh-CN"/>
              </w:rPr>
            </w:pPr>
            <w:r>
              <w:rPr>
                <w:rFonts w:hint="default" w:ascii="Times New Roman" w:hAnsi="Times New Roman" w:eastAsia="仿宋_GB2312" w:cs="Times New Roman"/>
                <w:kern w:val="0"/>
                <w:sz w:val="24"/>
                <w:szCs w:val="24"/>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报酬数在10万元至15万元（含）</w:t>
            </w:r>
          </w:p>
        </w:tc>
        <w:tc>
          <w:tcPr>
            <w:tcW w:w="4530" w:type="dxa"/>
            <w:noWrap w:val="0"/>
            <w:vAlign w:val="center"/>
          </w:tcPr>
          <w:p>
            <w:pPr>
              <w:widowControl/>
              <w:spacing w:line="320" w:lineRule="exact"/>
              <w:jc w:val="center"/>
              <w:rPr>
                <w:rFonts w:hint="default" w:ascii="Times New Roman" w:hAnsi="Times New Roman" w:eastAsia="仿宋_GB2312" w:cs="Times New Roman"/>
                <w:kern w:val="0"/>
                <w:sz w:val="24"/>
                <w:szCs w:val="24"/>
                <w:highlight w:val="none"/>
                <w:lang w:eastAsia="zh-CN"/>
              </w:rPr>
            </w:pPr>
            <w:r>
              <w:rPr>
                <w:rFonts w:hint="default" w:ascii="Times New Roman" w:hAnsi="Times New Roman" w:eastAsia="仿宋_GB2312" w:cs="Times New Roman"/>
                <w:kern w:val="0"/>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报酬数在10万元（含）以下</w:t>
            </w:r>
          </w:p>
        </w:tc>
        <w:tc>
          <w:tcPr>
            <w:tcW w:w="4530" w:type="dxa"/>
            <w:noWrap w:val="0"/>
            <w:vAlign w:val="center"/>
          </w:tcPr>
          <w:p>
            <w:pPr>
              <w:widowControl/>
              <w:spacing w:line="320" w:lineRule="exact"/>
              <w:jc w:val="center"/>
              <w:rPr>
                <w:rFonts w:hint="default" w:ascii="Times New Roman" w:hAnsi="Times New Roman" w:eastAsia="仿宋_GB2312" w:cs="Times New Roman"/>
                <w:kern w:val="0"/>
                <w:sz w:val="24"/>
                <w:szCs w:val="24"/>
                <w:highlight w:val="none"/>
                <w:lang w:eastAsia="zh-CN"/>
              </w:rPr>
            </w:pPr>
            <w:r>
              <w:rPr>
                <w:rFonts w:hint="default" w:ascii="Times New Roman" w:hAnsi="Times New Roman" w:eastAsia="仿宋_GB2312" w:cs="Times New Roman"/>
                <w:kern w:val="0"/>
                <w:sz w:val="24"/>
                <w:szCs w:val="24"/>
                <w:highlight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kern w:val="0"/>
          <w:sz w:val="28"/>
          <w:szCs w:val="28"/>
          <w:highlight w:val="none"/>
        </w:rPr>
      </w:pPr>
      <w:r>
        <w:rPr>
          <w:rFonts w:hint="default" w:ascii="Times New Roman" w:hAnsi="Times New Roman" w:eastAsia="仿宋_GB2312" w:cs="Times New Roman"/>
          <w:b/>
          <w:kern w:val="0"/>
          <w:sz w:val="28"/>
          <w:szCs w:val="28"/>
          <w:highlight w:val="none"/>
        </w:rPr>
        <w:t>（</w:t>
      </w:r>
      <w:r>
        <w:rPr>
          <w:rFonts w:hint="default" w:ascii="Times New Roman" w:hAnsi="Times New Roman" w:eastAsia="仿宋_GB2312" w:cs="Times New Roman"/>
          <w:b/>
          <w:kern w:val="0"/>
          <w:sz w:val="28"/>
          <w:szCs w:val="28"/>
          <w:highlight w:val="none"/>
          <w:lang w:val="en-US" w:eastAsia="zh-CN"/>
        </w:rPr>
        <w:t>四</w:t>
      </w:r>
      <w:r>
        <w:rPr>
          <w:rFonts w:hint="default" w:ascii="Times New Roman" w:hAnsi="Times New Roman" w:eastAsia="仿宋_GB2312" w:cs="Times New Roman"/>
          <w:b/>
          <w:kern w:val="0"/>
          <w:sz w:val="28"/>
          <w:szCs w:val="28"/>
          <w:highlight w:val="none"/>
        </w:rPr>
        <w:t>）薪酬延期支付情况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本公司对高级管理人员以及对风险有重要影响岗位上的员工进行绩效薪酬延期支付，延期支付比例与业务分管、管理职级、风险影响程度等因素挂钩，最高达到50%比例。期限为三年，在延期支付时段中遵循等分原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kern w:val="0"/>
          <w:sz w:val="28"/>
          <w:szCs w:val="28"/>
          <w:highlight w:val="none"/>
        </w:rPr>
      </w:pPr>
      <w:r>
        <w:rPr>
          <w:rFonts w:hint="default" w:ascii="Times New Roman" w:hAnsi="Times New Roman" w:eastAsia="仿宋_GB2312" w:cs="Times New Roman"/>
          <w:b/>
          <w:kern w:val="0"/>
          <w:sz w:val="28"/>
          <w:szCs w:val="28"/>
          <w:highlight w:val="none"/>
        </w:rPr>
        <w:t>（</w:t>
      </w:r>
      <w:r>
        <w:rPr>
          <w:rFonts w:hint="default" w:ascii="Times New Roman" w:hAnsi="Times New Roman" w:eastAsia="仿宋_GB2312" w:cs="Times New Roman"/>
          <w:b/>
          <w:kern w:val="0"/>
          <w:sz w:val="28"/>
          <w:szCs w:val="28"/>
          <w:highlight w:val="none"/>
          <w:lang w:val="en-US" w:eastAsia="zh-CN"/>
        </w:rPr>
        <w:t>五</w:t>
      </w:r>
      <w:r>
        <w:rPr>
          <w:rFonts w:hint="default" w:ascii="Times New Roman" w:hAnsi="Times New Roman" w:eastAsia="仿宋_GB2312" w:cs="Times New Roman"/>
          <w:b/>
          <w:kern w:val="0"/>
          <w:sz w:val="28"/>
          <w:szCs w:val="28"/>
          <w:highlight w:val="none"/>
        </w:rPr>
        <w:t>）薪酬与业绩衡量、风险调整的标准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绩效薪酬部分与年度考核结果挂钩，年度考核内容遵循“银行业金融机构绩效考评监管指引”执行，基本涵盖合规经营类、风险管理类、经营效益类、创新发展类和社会责任类等指标。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kern w:val="0"/>
          <w:sz w:val="28"/>
          <w:szCs w:val="28"/>
          <w:highlight w:val="none"/>
        </w:rPr>
        <w:t>（</w:t>
      </w:r>
      <w:r>
        <w:rPr>
          <w:rFonts w:hint="default" w:ascii="Times New Roman" w:hAnsi="Times New Roman" w:eastAsia="仿宋_GB2312" w:cs="Times New Roman"/>
          <w:b/>
          <w:kern w:val="0"/>
          <w:sz w:val="28"/>
          <w:szCs w:val="28"/>
          <w:highlight w:val="none"/>
          <w:lang w:val="en-US" w:eastAsia="zh-CN"/>
        </w:rPr>
        <w:t>六</w:t>
      </w:r>
      <w:r>
        <w:rPr>
          <w:rFonts w:hint="default" w:ascii="Times New Roman" w:hAnsi="Times New Roman" w:eastAsia="仿宋_GB2312" w:cs="Times New Roman"/>
          <w:b/>
          <w:kern w:val="0"/>
          <w:sz w:val="28"/>
          <w:szCs w:val="28"/>
          <w:highlight w:val="none"/>
        </w:rPr>
        <w:t>）</w:t>
      </w:r>
      <w:r>
        <w:rPr>
          <w:rFonts w:hint="default" w:ascii="Times New Roman" w:hAnsi="Times New Roman" w:eastAsia="仿宋_GB2312" w:cs="Times New Roman"/>
          <w:b/>
          <w:bCs/>
          <w:kern w:val="0"/>
          <w:sz w:val="28"/>
          <w:szCs w:val="28"/>
          <w:highlight w:val="none"/>
        </w:rPr>
        <w:t>年度薪酬方案制定符合商业银行稳健薪酬监管指引要求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本公司积极履行社会责任，参与社会公益、教育助学、卫生医疗、节能环保、扶贫济困、养老帮扶、志愿服务等公益慈善事业，鼓励员工积极参与机构或其他社会组织开展的环境和社会公益活动，并明确将社会责任内容纳入年度考核指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kern w:val="0"/>
          <w:sz w:val="28"/>
          <w:szCs w:val="28"/>
          <w:highlight w:val="none"/>
        </w:rPr>
      </w:pPr>
      <w:r>
        <w:rPr>
          <w:rFonts w:hint="default" w:ascii="Times New Roman" w:hAnsi="Times New Roman" w:eastAsia="仿宋_GB2312" w:cs="Times New Roman"/>
          <w:b/>
          <w:kern w:val="0"/>
          <w:sz w:val="28"/>
          <w:szCs w:val="28"/>
          <w:highlight w:val="none"/>
        </w:rPr>
        <w:t>（</w:t>
      </w:r>
      <w:r>
        <w:rPr>
          <w:rFonts w:hint="default" w:ascii="Times New Roman" w:hAnsi="Times New Roman" w:eastAsia="仿宋_GB2312" w:cs="Times New Roman"/>
          <w:b/>
          <w:kern w:val="0"/>
          <w:sz w:val="28"/>
          <w:szCs w:val="28"/>
          <w:highlight w:val="none"/>
          <w:lang w:val="en-US" w:eastAsia="zh-CN"/>
        </w:rPr>
        <w:t>七</w:t>
      </w:r>
      <w:r>
        <w:rPr>
          <w:rFonts w:hint="default" w:ascii="Times New Roman" w:hAnsi="Times New Roman" w:eastAsia="仿宋_GB2312" w:cs="Times New Roman"/>
          <w:b/>
          <w:kern w:val="0"/>
          <w:sz w:val="28"/>
          <w:szCs w:val="28"/>
          <w:highlight w:val="none"/>
        </w:rPr>
        <w:t>）超出原定薪酬方案的例外情况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报告期内，本公司无超出原定薪酬方案的例外情况</w:t>
      </w:r>
      <w:r>
        <w:rPr>
          <w:rFonts w:hint="default" w:ascii="Times New Roman" w:hAnsi="Times New Roman" w:eastAsia="仿宋_GB2312" w:cs="Times New Roman"/>
          <w:sz w:val="30"/>
          <w:szCs w:val="3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textAlignment w:val="auto"/>
        <w:rPr>
          <w:rFonts w:hint="default" w:ascii="Times New Roman" w:hAnsi="Times New Roman" w:eastAsia="黑体" w:cs="Times New Roman"/>
          <w:b/>
          <w:sz w:val="30"/>
          <w:szCs w:val="30"/>
          <w:highlight w:val="none"/>
        </w:rPr>
      </w:pPr>
      <w:r>
        <w:rPr>
          <w:rFonts w:hint="eastAsia" w:ascii="Times New Roman" w:hAnsi="Times New Roman" w:eastAsia="黑体" w:cs="Times New Roman"/>
          <w:b/>
          <w:sz w:val="30"/>
          <w:szCs w:val="30"/>
          <w:highlight w:val="none"/>
          <w:lang w:val="en-US" w:eastAsia="zh-CN"/>
        </w:rPr>
        <w:t>6.4</w:t>
      </w:r>
      <w:r>
        <w:rPr>
          <w:rFonts w:hint="default" w:ascii="仿宋_GB2312" w:hAnsi="仿宋_GB2312" w:eastAsia="仿宋_GB2312" w:cs="仿宋_GB2312"/>
          <w:b/>
          <w:sz w:val="30"/>
          <w:szCs w:val="30"/>
          <w:highlight w:val="none"/>
          <w:lang w:val="en-US" w:eastAsia="zh-CN"/>
        </w:rPr>
        <w:t>员工情况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本公司秉承“为员工创造未来”的理念，坚持“以人为本”，努力为员工创造和谐融洽的成长环境、提供全方位的培训机会和多元化的发展平台，实现员工与企业的共同发展。报告期末，公司（含并表子公司）员工共计</w:t>
      </w:r>
      <w:r>
        <w:rPr>
          <w:rFonts w:hint="eastAsia" w:ascii="Times New Roman" w:hAnsi="Times New Roman" w:eastAsia="仿宋_GB2312" w:cs="Times New Roman"/>
          <w:sz w:val="30"/>
          <w:szCs w:val="30"/>
          <w:highlight w:val="none"/>
          <w:lang w:val="en-US" w:eastAsia="zh-CN"/>
        </w:rPr>
        <w:t>97</w:t>
      </w:r>
      <w:r>
        <w:rPr>
          <w:rFonts w:hint="default" w:ascii="Times New Roman" w:hAnsi="Times New Roman" w:eastAsia="仿宋_GB2312" w:cs="Times New Roman"/>
          <w:sz w:val="30"/>
          <w:szCs w:val="30"/>
          <w:highlight w:val="none"/>
        </w:rPr>
        <w:t>人，较年初增加</w:t>
      </w:r>
      <w:r>
        <w:rPr>
          <w:rFonts w:hint="eastAsia" w:ascii="Times New Roman" w:hAnsi="Times New Roman" w:eastAsia="仿宋_GB2312" w:cs="Times New Roman"/>
          <w:sz w:val="30"/>
          <w:szCs w:val="30"/>
          <w:highlight w:val="none"/>
          <w:lang w:val="en-US" w:eastAsia="zh-CN"/>
        </w:rPr>
        <w:t>17</w:t>
      </w:r>
      <w:r>
        <w:rPr>
          <w:rFonts w:hint="default" w:ascii="Times New Roman" w:hAnsi="Times New Roman" w:eastAsia="仿宋_GB2312" w:cs="Times New Roman"/>
          <w:sz w:val="30"/>
          <w:szCs w:val="30"/>
          <w:highlight w:val="none"/>
        </w:rPr>
        <w:t>人，增幅</w:t>
      </w:r>
      <w:r>
        <w:rPr>
          <w:rFonts w:hint="eastAsia" w:ascii="Times New Roman" w:hAnsi="Times New Roman" w:eastAsia="仿宋_GB2312" w:cs="Times New Roman"/>
          <w:sz w:val="30"/>
          <w:szCs w:val="30"/>
          <w:highlight w:val="none"/>
          <w:lang w:val="en-US" w:eastAsia="zh-CN"/>
        </w:rPr>
        <w:t>21.28</w:t>
      </w:r>
      <w:r>
        <w:rPr>
          <w:rFonts w:hint="default" w:ascii="Times New Roman" w:hAnsi="Times New Roman" w:eastAsia="仿宋_GB2312" w:cs="Times New Roman"/>
          <w:sz w:val="30"/>
          <w:szCs w:val="30"/>
          <w:highlight w:val="none"/>
        </w:rPr>
        <w:t>%；按学历划分，大专及以上学历员工占比97.</w:t>
      </w:r>
      <w:r>
        <w:rPr>
          <w:rFonts w:hint="eastAsia" w:ascii="Times New Roman" w:hAnsi="Times New Roman" w:eastAsia="仿宋_GB2312" w:cs="Times New Roman"/>
          <w:sz w:val="30"/>
          <w:szCs w:val="30"/>
          <w:highlight w:val="none"/>
          <w:lang w:val="en-US" w:eastAsia="zh-CN"/>
        </w:rPr>
        <w:t>93</w:t>
      </w:r>
      <w:r>
        <w:rPr>
          <w:rFonts w:hint="default" w:ascii="Times New Roman" w:hAnsi="Times New Roman" w:eastAsia="仿宋_GB2312" w:cs="Times New Roman"/>
          <w:sz w:val="30"/>
          <w:szCs w:val="30"/>
          <w:highlight w:val="none"/>
        </w:rPr>
        <w:t>%，其中硕士研究生以上占比</w:t>
      </w:r>
      <w:r>
        <w:rPr>
          <w:rFonts w:hint="eastAsia"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val="en-US" w:eastAsia="zh-CN"/>
        </w:rPr>
        <w:t>09</w:t>
      </w:r>
      <w:r>
        <w:rPr>
          <w:rFonts w:hint="default" w:ascii="Times New Roman" w:hAnsi="Times New Roman" w:eastAsia="仿宋_GB2312" w:cs="Times New Roman"/>
          <w:sz w:val="30"/>
          <w:szCs w:val="30"/>
          <w:highlight w:val="none"/>
        </w:rPr>
        <w:t>%，本科学历占比6</w:t>
      </w:r>
      <w:r>
        <w:rPr>
          <w:rFonts w:hint="eastAsia" w:ascii="Times New Roman" w:hAnsi="Times New Roman" w:eastAsia="仿宋_GB2312" w:cs="Times New Roman"/>
          <w:sz w:val="30"/>
          <w:szCs w:val="30"/>
          <w:highlight w:val="none"/>
          <w:lang w:val="en-US" w:eastAsia="zh-CN"/>
        </w:rPr>
        <w:t>5.97</w:t>
      </w:r>
      <w:r>
        <w:rPr>
          <w:rFonts w:hint="default" w:ascii="Times New Roman" w:hAnsi="Times New Roman" w:eastAsia="仿宋_GB2312" w:cs="Times New Roman"/>
          <w:sz w:val="30"/>
          <w:szCs w:val="30"/>
          <w:highlight w:val="none"/>
        </w:rPr>
        <w:t>%。</w:t>
      </w:r>
    </w:p>
    <w:p>
      <w:pPr>
        <w:keepNext w:val="0"/>
        <w:keepLines w:val="0"/>
        <w:pageBreakBefore w:val="0"/>
        <w:widowControl w:val="0"/>
        <w:kinsoku/>
        <w:wordWrap/>
        <w:overflowPunct/>
        <w:topLinePunct w:val="0"/>
        <w:autoSpaceDE/>
        <w:autoSpaceDN/>
        <w:bidi w:val="0"/>
        <w:spacing w:line="560" w:lineRule="exact"/>
        <w:ind w:left="413"/>
        <w:textAlignment w:val="auto"/>
        <w:rPr>
          <w:rFonts w:hint="default" w:ascii="Times New Roman" w:hAnsi="Times New Roman" w:eastAsia="仿宋_GB2312" w:cs="Times New Roman"/>
          <w:b/>
          <w:color w:val="auto"/>
          <w:sz w:val="30"/>
          <w:szCs w:val="30"/>
          <w:highlight w:val="none"/>
        </w:rPr>
      </w:pPr>
      <w:r>
        <w:rPr>
          <w:rFonts w:hint="eastAsia" w:eastAsia="仿宋_GB2312" w:cs="Times New Roman"/>
          <w:b/>
          <w:color w:val="auto"/>
          <w:sz w:val="30"/>
          <w:szCs w:val="30"/>
          <w:highlight w:val="none"/>
          <w:lang w:val="en-US" w:eastAsia="zh-CN"/>
        </w:rPr>
        <w:t>6.5</w:t>
      </w:r>
      <w:r>
        <w:rPr>
          <w:rFonts w:hint="default" w:ascii="Times New Roman" w:hAnsi="Times New Roman" w:eastAsia="仿宋_GB2312" w:cs="Times New Roman"/>
          <w:b/>
          <w:color w:val="auto"/>
          <w:sz w:val="30"/>
          <w:szCs w:val="30"/>
          <w:highlight w:val="none"/>
        </w:rPr>
        <w:t>分支机构情况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报告期末，本行有营业部、</w:t>
      </w:r>
      <w:r>
        <w:rPr>
          <w:rFonts w:hint="default" w:ascii="Times New Roman" w:hAnsi="Times New Roman" w:eastAsia="仿宋_GB2312" w:cs="Times New Roman"/>
          <w:sz w:val="30"/>
          <w:szCs w:val="30"/>
          <w:highlight w:val="none"/>
          <w:lang w:val="en-US" w:eastAsia="zh-CN"/>
        </w:rPr>
        <w:t>蔡家支行</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朝阳支行、歇马支行、静观支行5</w:t>
      </w:r>
      <w:r>
        <w:rPr>
          <w:rFonts w:hint="default" w:ascii="Times New Roman" w:hAnsi="Times New Roman" w:eastAsia="仿宋_GB2312" w:cs="Times New Roman"/>
          <w:sz w:val="30"/>
          <w:szCs w:val="30"/>
          <w:highlight w:val="none"/>
        </w:rPr>
        <w:t>个网点。分支机构情况详见下表：</w:t>
      </w:r>
    </w:p>
    <w:tbl>
      <w:tblPr>
        <w:tblStyle w:val="3"/>
        <w:tblW w:w="84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7"/>
        <w:gridCol w:w="2084"/>
        <w:gridCol w:w="57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widowControl/>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序号</w:t>
            </w:r>
          </w:p>
        </w:tc>
        <w:tc>
          <w:tcPr>
            <w:tcW w:w="2084" w:type="dxa"/>
            <w:noWrap w:val="0"/>
            <w:vAlign w:val="center"/>
          </w:tcPr>
          <w:p>
            <w:pPr>
              <w:widowControl/>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机构名称</w:t>
            </w:r>
          </w:p>
        </w:tc>
        <w:tc>
          <w:tcPr>
            <w:tcW w:w="5749" w:type="dxa"/>
            <w:noWrap w:val="0"/>
            <w:vAlign w:val="center"/>
          </w:tcPr>
          <w:p>
            <w:pPr>
              <w:widowControl/>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机构地址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2084" w:type="dxa"/>
            <w:noWrap w:val="0"/>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营业部</w:t>
            </w:r>
          </w:p>
        </w:tc>
        <w:tc>
          <w:tcPr>
            <w:tcW w:w="5749" w:type="dxa"/>
            <w:noWrap w:val="0"/>
            <w:vAlign w:val="center"/>
          </w:tcPr>
          <w:p>
            <w:pPr>
              <w:widowControl/>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重庆市北碚区云华路218号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2084" w:type="dxa"/>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蔡家支行</w:t>
            </w:r>
          </w:p>
        </w:tc>
        <w:tc>
          <w:tcPr>
            <w:tcW w:w="5749" w:type="dxa"/>
            <w:noWrap w:val="0"/>
            <w:vAlign w:val="center"/>
          </w:tcPr>
          <w:p>
            <w:pPr>
              <w:widowControl/>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重庆市北碚区云荟路269号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2084" w:type="dxa"/>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朝阳支行</w:t>
            </w:r>
          </w:p>
        </w:tc>
        <w:tc>
          <w:tcPr>
            <w:tcW w:w="5749" w:type="dxa"/>
            <w:noWrap w:val="0"/>
            <w:vAlign w:val="center"/>
          </w:tcPr>
          <w:p>
            <w:pPr>
              <w:widowControl/>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重庆市北碚区朝阳路72号、上海路81号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2084" w:type="dxa"/>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歇马支行</w:t>
            </w:r>
          </w:p>
        </w:tc>
        <w:tc>
          <w:tcPr>
            <w:tcW w:w="5749" w:type="dxa"/>
            <w:noWrap w:val="0"/>
            <w:vAlign w:val="center"/>
          </w:tcPr>
          <w:p>
            <w:pPr>
              <w:widowControl/>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重庆市北碚区歇马路9号附2号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w:t>
            </w:r>
          </w:p>
        </w:tc>
        <w:tc>
          <w:tcPr>
            <w:tcW w:w="2084" w:type="dxa"/>
            <w:noWrap w:val="0"/>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静观支行</w:t>
            </w:r>
          </w:p>
        </w:tc>
        <w:tc>
          <w:tcPr>
            <w:tcW w:w="5749" w:type="dxa"/>
            <w:noWrap w:val="0"/>
            <w:vAlign w:val="center"/>
          </w:tcPr>
          <w:p>
            <w:pPr>
              <w:widowControl/>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iCs w:val="0"/>
                <w:color w:val="auto"/>
                <w:sz w:val="24"/>
                <w:szCs w:val="24"/>
                <w:highlight w:val="none"/>
                <w:u w:val="none"/>
              </w:rPr>
              <w:t>重庆北碚区静观镇花圃街12号、14号</w:t>
            </w:r>
          </w:p>
        </w:tc>
      </w:tr>
    </w:tbl>
    <w:p>
      <w:pPr>
        <w:pStyle w:val="2"/>
        <w:numPr>
          <w:ilvl w:val="0"/>
          <w:numId w:val="0"/>
        </w:numPr>
        <w:rPr>
          <w:rFonts w:hint="eastAsia"/>
          <w:highlight w:val="none"/>
        </w:rPr>
      </w:pPr>
    </w:p>
    <w:p>
      <w:pPr>
        <w:adjustRightInd w:val="0"/>
        <w:ind w:firstLine="602" w:firstLineChars="200"/>
        <w:rPr>
          <w:rFonts w:hint="default" w:ascii="Times New Roman" w:hAnsi="Times New Roman" w:eastAsia="仿宋_GB2312" w:cs="Times New Roman"/>
          <w:b/>
          <w:bCs/>
          <w:color w:val="auto"/>
          <w:sz w:val="30"/>
          <w:szCs w:val="30"/>
          <w:highlight w:val="none"/>
        </w:rPr>
      </w:pPr>
      <w:r>
        <w:rPr>
          <w:rFonts w:hint="default" w:ascii="Times New Roman" w:hAnsi="Times New Roman" w:eastAsia="仿宋_GB2312" w:cs="Times New Roman"/>
          <w:b/>
          <w:bCs/>
          <w:color w:val="auto"/>
          <w:sz w:val="30"/>
          <w:szCs w:val="30"/>
          <w:highlight w:val="none"/>
        </w:rPr>
        <w:t>7</w:t>
      </w:r>
      <w:r>
        <w:rPr>
          <w:rFonts w:hint="default" w:ascii="Times New Roman" w:hAnsi="Times New Roman" w:eastAsia="仿宋_GB2312" w:cs="Times New Roman"/>
          <w:b/>
          <w:bCs/>
          <w:color w:val="auto"/>
          <w:sz w:val="30"/>
          <w:szCs w:val="30"/>
          <w:highlight w:val="none"/>
          <w:lang w:eastAsia="zh-CN"/>
        </w:rPr>
        <w:t>、</w:t>
      </w:r>
      <w:r>
        <w:rPr>
          <w:rFonts w:hint="default" w:ascii="Times New Roman" w:hAnsi="Times New Roman" w:eastAsia="仿宋_GB2312" w:cs="Times New Roman"/>
          <w:b/>
          <w:bCs/>
          <w:color w:val="auto"/>
          <w:sz w:val="30"/>
          <w:szCs w:val="30"/>
          <w:highlight w:val="none"/>
        </w:rPr>
        <w:t>公司治理结构</w:t>
      </w:r>
    </w:p>
    <w:p>
      <w:pPr>
        <w:adjustRightInd w:val="0"/>
        <w:ind w:firstLine="590" w:firstLineChars="196"/>
        <w:rPr>
          <w:rFonts w:hint="default" w:ascii="Times New Roman" w:hAnsi="Times New Roman" w:eastAsia="仿宋_GB2312" w:cs="Times New Roman"/>
          <w:b/>
          <w:bCs/>
          <w:color w:val="auto"/>
          <w:sz w:val="30"/>
          <w:szCs w:val="30"/>
          <w:highlight w:val="none"/>
        </w:rPr>
      </w:pPr>
      <w:r>
        <w:rPr>
          <w:rFonts w:hint="default" w:ascii="Times New Roman" w:hAnsi="Times New Roman" w:eastAsia="仿宋_GB2312" w:cs="Times New Roman"/>
          <w:b/>
          <w:bCs/>
          <w:color w:val="auto"/>
          <w:sz w:val="30"/>
          <w:szCs w:val="30"/>
          <w:highlight w:val="none"/>
        </w:rPr>
        <w:t xml:space="preserve">7.1 </w:t>
      </w:r>
      <w:r>
        <w:rPr>
          <w:rFonts w:hint="default" w:ascii="Times New Roman" w:hAnsi="Times New Roman" w:eastAsia="仿宋_GB2312" w:cs="Times New Roman"/>
          <w:b/>
          <w:color w:val="auto"/>
          <w:sz w:val="30"/>
          <w:szCs w:val="30"/>
          <w:highlight w:val="none"/>
        </w:rPr>
        <w:t>公司治理情况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本公司按照《中华人民共和国公司法》（以下简称“公司法”）、《中华人民共和国商业银行法》、《商业银行公司治理指引》等法律法规的要求建立了规范的治理结构，设立了董事会及其专门委员会、监事会和经营管理层，并分别制定了相应的议事规则和权力制衡机制。报告期内，公司不断完善公司治理结构，进一步明晰公司治理各主体的职责边界，积极开展资本补充工作，保护存款人的利益，为股东赢取回报，努力建设资本充足、内控严密、运营安全、效益良好的具有核心竞争优势的现代化银行。公司治理具体情况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lang w:eastAsia="zh-CN"/>
        </w:rPr>
      </w:pPr>
      <w:r>
        <w:rPr>
          <w:rFonts w:hint="eastAsia" w:ascii="Times New Roman" w:hAnsi="Times New Roman" w:eastAsia="仿宋_GB2312" w:cs="Times New Roman"/>
          <w:sz w:val="30"/>
          <w:szCs w:val="30"/>
          <w:highlight w:val="none"/>
        </w:rPr>
        <w:t>（一）关于股东本公司具有较为合理的股权结构和运行规范制度，确保了所有股东享有平等地位并能够充分行使自己的权利。报告期末，公司股东总数</w:t>
      </w:r>
      <w:r>
        <w:rPr>
          <w:rFonts w:hint="eastAsia" w:ascii="Times New Roman" w:hAnsi="Times New Roman" w:eastAsia="仿宋_GB2312" w:cs="Times New Roman"/>
          <w:sz w:val="30"/>
          <w:szCs w:val="30"/>
          <w:highlight w:val="none"/>
          <w:lang w:val="en-US" w:eastAsia="zh-CN"/>
        </w:rPr>
        <w:t>1</w:t>
      </w:r>
      <w:r>
        <w:rPr>
          <w:rFonts w:hint="eastAsia" w:ascii="Times New Roman" w:hAnsi="Times New Roman" w:eastAsia="仿宋_GB2312" w:cs="Times New Roman"/>
          <w:sz w:val="30"/>
          <w:szCs w:val="30"/>
          <w:highlight w:val="none"/>
        </w:rPr>
        <w:t>户，其中法人股东</w:t>
      </w:r>
      <w:r>
        <w:rPr>
          <w:rFonts w:hint="eastAsia" w:ascii="Times New Roman" w:hAnsi="Times New Roman" w:eastAsia="仿宋_GB2312" w:cs="Times New Roman"/>
          <w:sz w:val="30"/>
          <w:szCs w:val="30"/>
          <w:highlight w:val="none"/>
          <w:lang w:val="en-US" w:eastAsia="zh-CN"/>
        </w:rPr>
        <w:t>1</w:t>
      </w:r>
      <w:r>
        <w:rPr>
          <w:rFonts w:hint="eastAsia" w:ascii="Times New Roman" w:hAnsi="Times New Roman" w:eastAsia="仿宋_GB2312" w:cs="Times New Roman"/>
          <w:sz w:val="30"/>
          <w:szCs w:val="30"/>
          <w:highlight w:val="none"/>
        </w:rPr>
        <w:t>户，合计持有股份</w:t>
      </w:r>
      <w:r>
        <w:rPr>
          <w:rFonts w:hint="eastAsia" w:ascii="Times New Roman" w:hAnsi="Times New Roman" w:eastAsia="仿宋_GB2312" w:cs="Times New Roman"/>
          <w:sz w:val="30"/>
          <w:szCs w:val="30"/>
          <w:highlight w:val="none"/>
          <w:lang w:val="en-US" w:eastAsia="zh-CN"/>
        </w:rPr>
        <w:t>10000</w:t>
      </w:r>
      <w:r>
        <w:rPr>
          <w:rFonts w:hint="eastAsia" w:ascii="Times New Roman" w:hAnsi="Times New Roman" w:eastAsia="仿宋_GB2312" w:cs="Times New Roman"/>
          <w:sz w:val="30"/>
          <w:szCs w:val="30"/>
          <w:highlight w:val="none"/>
        </w:rPr>
        <w:t>万股，占比</w:t>
      </w:r>
      <w:r>
        <w:rPr>
          <w:rFonts w:hint="eastAsia" w:ascii="Times New Roman" w:hAnsi="Times New Roman" w:eastAsia="仿宋_GB2312" w:cs="Times New Roman"/>
          <w:sz w:val="30"/>
          <w:szCs w:val="30"/>
          <w:highlight w:val="none"/>
          <w:lang w:val="en-US" w:eastAsia="zh-CN"/>
        </w:rPr>
        <w:t>100</w:t>
      </w:r>
      <w:r>
        <w:rPr>
          <w:rFonts w:hint="eastAsia"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 xml:space="preserve"> 本公司</w:t>
      </w:r>
      <w:r>
        <w:rPr>
          <w:rFonts w:hint="eastAsia" w:ascii="Times New Roman" w:hAnsi="Times New Roman" w:eastAsia="仿宋_GB2312" w:cs="Times New Roman"/>
          <w:sz w:val="30"/>
          <w:szCs w:val="30"/>
          <w:highlight w:val="none"/>
          <w:lang w:val="en-US" w:eastAsia="zh-CN"/>
        </w:rPr>
        <w:t>董事会和监事会</w:t>
      </w:r>
      <w:r>
        <w:rPr>
          <w:rFonts w:hint="eastAsia" w:ascii="Times New Roman" w:hAnsi="Times New Roman" w:eastAsia="仿宋_GB2312" w:cs="Times New Roman"/>
          <w:sz w:val="30"/>
          <w:szCs w:val="30"/>
          <w:highlight w:val="none"/>
        </w:rPr>
        <w:t>会议的通知、召集、召开和表决程序均严格遵照《公司法》、本公司《章程》的规定，保证股东对公司重大事项的知情权、参与权和表决权。</w:t>
      </w:r>
    </w:p>
    <w:p>
      <w:pPr>
        <w:pStyle w:val="2"/>
        <w:numPr>
          <w:ilvl w:val="0"/>
          <w:numId w:val="0"/>
        </w:numPr>
        <w:ind w:left="750" w:leftChars="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（二）股东职责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本行薪酬管理组织架构包括股东、董事会、监事会及高级管理层四个层面。在决策程序方面，</w:t>
      </w:r>
      <w:r>
        <w:rPr>
          <w:rFonts w:hint="eastAsia" w:ascii="Times New Roman" w:hAnsi="Times New Roman" w:eastAsia="仿宋_GB2312" w:cs="Times New Roman"/>
          <w:sz w:val="30"/>
          <w:szCs w:val="30"/>
          <w:highlight w:val="none"/>
          <w:lang w:val="en-US" w:eastAsia="zh-CN"/>
        </w:rPr>
        <w:t>按照《公司法》规定，股东行使选举和更换董事、监事，决定有关董事、监事的报酬事项，审议批准董事会的报告，审议批准监事会的报告，审议批准公司的利润分配方案和弥补亏损方案，对公司增加或者减少注册资本做出决议；对公司合并、分立、解散、清算或者变更公司形式做出决议，修改公司章程，公司章程规定的其他职权。</w:t>
      </w:r>
      <w:r>
        <w:rPr>
          <w:rFonts w:hint="eastAsia" w:ascii="Times New Roman" w:hAnsi="Times New Roman" w:eastAsia="仿宋_GB2312" w:cs="Times New Roman"/>
          <w:sz w:val="30"/>
          <w:szCs w:val="30"/>
          <w:highlight w:val="none"/>
        </w:rPr>
        <w:t>本行董事会按照国家有关法律和政策规定，负责公司薪酬管理制度和相关政策的制订，并对高级管理人员按年度进行绩效考核，决定高级管理人员薪酬标准；监事会负责监督董事、监事和高级管理人员的履职情况，按年度进行考核评价，并将董事及监事的考核结果向股东报告；管理层负责组织实施董事会薪酬管理方面的决议，并接受董事会管理和监事会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lang w:val="en-US" w:eastAsia="zh-CN"/>
        </w:rPr>
        <w:t>三</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lang w:val="en-US" w:eastAsia="zh-CN"/>
        </w:rPr>
        <w:t>2024年股东决定情况</w:t>
      </w:r>
    </w:p>
    <w:p>
      <w:pPr>
        <w:pStyle w:val="6"/>
        <w:keepNext w:val="0"/>
        <w:keepLines w:val="0"/>
        <w:pageBreakBefore w:val="0"/>
        <w:kinsoku/>
        <w:wordWrap/>
        <w:overflowPunct/>
        <w:topLinePunct w:val="0"/>
        <w:bidi w:val="0"/>
        <w:snapToGrid/>
        <w:spacing w:line="560" w:lineRule="exact"/>
        <w:rPr>
          <w:rFonts w:hint="default" w:ascii="Times New Roman" w:hAnsi="Times New Roman" w:eastAsia="仿宋_GB2312" w:cs="Times New Roman"/>
          <w:b/>
          <w:bCs/>
          <w:color w:val="auto"/>
          <w:kern w:val="0"/>
          <w:sz w:val="30"/>
          <w:szCs w:val="30"/>
          <w:highlight w:val="none"/>
          <w:lang w:val="en-US" w:eastAsia="zh-CN"/>
        </w:rPr>
      </w:pPr>
      <w:r>
        <w:rPr>
          <w:rFonts w:hint="default" w:ascii="Times New Roman" w:hAnsi="Times New Roman" w:eastAsia="仿宋_GB2312" w:cs="Times New Roman"/>
          <w:b/>
          <w:bCs/>
          <w:color w:val="auto"/>
          <w:kern w:val="0"/>
          <w:sz w:val="30"/>
          <w:szCs w:val="30"/>
          <w:highlight w:val="none"/>
          <w:lang w:val="en-US" w:eastAsia="zh-CN"/>
        </w:rPr>
        <w:t>2024年股东决定情况：</w:t>
      </w:r>
    </w:p>
    <w:p>
      <w:pPr>
        <w:pStyle w:val="6"/>
        <w:keepNext w:val="0"/>
        <w:keepLines w:val="0"/>
        <w:pageBreakBefore w:val="0"/>
        <w:kinsoku/>
        <w:wordWrap/>
        <w:overflowPunct/>
        <w:topLinePunct w:val="0"/>
        <w:bidi w:val="0"/>
        <w:snapToGrid/>
        <w:spacing w:line="560" w:lineRule="exact"/>
        <w:rPr>
          <w:rFonts w:hint="default" w:ascii="Times New Roman" w:hAnsi="Times New Roman" w:eastAsia="仿宋_GB2312" w:cs="Times New Roman"/>
          <w:color w:val="auto"/>
          <w:kern w:val="0"/>
          <w:sz w:val="30"/>
          <w:szCs w:val="30"/>
          <w:highlight w:val="none"/>
          <w:lang w:val="en-US" w:eastAsia="zh-CN" w:bidi="ar-SA"/>
        </w:rPr>
      </w:pPr>
      <w:r>
        <w:rPr>
          <w:rFonts w:hint="default" w:ascii="Times New Roman" w:hAnsi="Times New Roman" w:eastAsia="仿宋_GB2312" w:cs="Times New Roman"/>
          <w:color w:val="auto"/>
          <w:kern w:val="0"/>
          <w:sz w:val="30"/>
          <w:szCs w:val="30"/>
          <w:highlight w:val="none"/>
          <w:lang w:val="en-US" w:eastAsia="zh-CN" w:bidi="ar-SA"/>
        </w:rPr>
        <w:t>1.根据《公司法》及《重庆北碚稠州村镇银行公司章程》，重庆北碚稠州村镇银行有限责任公司股东于2024年3月25日作出如下决定：同意《重庆北碚稠州村镇银行2023年度经营情况和2024年度工作重点的报告》、同意《重庆北碚稠州村镇银行2023年度财务决算及2024年度财务预算的报告》的议案、同意《关于重庆北碚稠州村镇银行2023年度利润分配方案》的议案、同意《关于重庆北碚稠州村镇银行2023年度高级管理层经营目标考核情况》的议案、同意《关于重庆北碚稠州村镇银行高级管理层2024年度薪酬绩效考核办法》的议案、同意《重庆北碚稠州村镇银行2023年度内部控制评价报告》的议案、同意《重庆北碚稠州村镇银行2023年度内部审计工作开展情况及2024年度内部审计工作计划报告》的议案、同意《重庆北碚稠州村镇银行2023年度资本管理及资本补充能力报告》的议案、同意《重庆北碚稠州村镇银行资本三年规划（2024-2026）》的议案、同意《关于重庆北碚稠州村镇银行2024年度业务发展规划》的议案、同意《重庆北碚稠州村镇银行监事会关于2023年度信息披露报告的审核意见》的议案、同意《重庆北碚稠州村镇银行2024年流动性风险偏好和流动性风险管理策略、政策》的议案、同意《关于聘请2024年度外部审计机构》的议案。</w:t>
      </w:r>
    </w:p>
    <w:p>
      <w:pPr>
        <w:pStyle w:val="6"/>
        <w:keepNext w:val="0"/>
        <w:keepLines w:val="0"/>
        <w:pageBreakBefore w:val="0"/>
        <w:kinsoku/>
        <w:wordWrap/>
        <w:overflowPunct/>
        <w:topLinePunct w:val="0"/>
        <w:bidi w:val="0"/>
        <w:snapToGrid/>
        <w:spacing w:line="560" w:lineRule="exact"/>
        <w:rPr>
          <w:rFonts w:hint="default" w:ascii="Times New Roman" w:hAnsi="Times New Roman" w:eastAsia="仿宋_GB2312" w:cs="Times New Roman"/>
          <w:color w:val="auto"/>
          <w:kern w:val="0"/>
          <w:sz w:val="30"/>
          <w:szCs w:val="30"/>
          <w:highlight w:val="none"/>
          <w:lang w:val="en-US" w:eastAsia="zh-CN" w:bidi="ar-SA"/>
        </w:rPr>
      </w:pPr>
      <w:r>
        <w:rPr>
          <w:rFonts w:hint="default" w:ascii="Times New Roman" w:hAnsi="Times New Roman" w:eastAsia="仿宋_GB2312" w:cs="Times New Roman"/>
          <w:color w:val="auto"/>
          <w:kern w:val="0"/>
          <w:sz w:val="30"/>
          <w:szCs w:val="30"/>
          <w:highlight w:val="none"/>
          <w:lang w:val="en-US" w:eastAsia="zh-CN" w:bidi="ar-SA"/>
        </w:rPr>
        <w:t>2.根据《公司法》及《重庆北碚稠州村镇银行公司章程》，重庆北碚稠州村镇银行有限责任公司股东于2024年6月25日作出如下决定：免去羊茂卿童事职务，委派金庆洪、陈余娟、胡天进为第二届董事会董事、法人代表变更为金庆洪、同意《关于重庆北碚稠州村镇银行 2024年度董事会对董事长授权方案》的议案、同意《关于调整董事会提名与薪酬考核委员会等5个委员会成员》的议案、同意《北碚稠州村镇银行 2024年经营目标责任制考核办法》的议案、同意《关于重新印发&lt;重庆北碚稠州村镇银行反洗钱工作规定&gt;》的议案、同意《关于重新印发＜重庆北碚稠州村镇银行洗钱和恐怖融资风险管理策略&gt;》的议案。</w:t>
      </w:r>
    </w:p>
    <w:p>
      <w:pPr>
        <w:pStyle w:val="6"/>
        <w:keepNext w:val="0"/>
        <w:keepLines w:val="0"/>
        <w:pageBreakBefore w:val="0"/>
        <w:kinsoku/>
        <w:wordWrap/>
        <w:overflowPunct/>
        <w:topLinePunct w:val="0"/>
        <w:bidi w:val="0"/>
        <w:snapToGrid/>
        <w:spacing w:line="560" w:lineRule="exact"/>
        <w:rPr>
          <w:rFonts w:hint="default" w:ascii="Times New Roman" w:hAnsi="Times New Roman" w:eastAsia="仿宋_GB2312" w:cs="Times New Roman"/>
          <w:color w:val="auto"/>
          <w:kern w:val="0"/>
          <w:sz w:val="30"/>
          <w:szCs w:val="30"/>
          <w:highlight w:val="none"/>
          <w:lang w:val="en-US" w:eastAsia="zh-CN" w:bidi="ar-SA"/>
        </w:rPr>
      </w:pPr>
      <w:r>
        <w:rPr>
          <w:rFonts w:hint="default" w:ascii="Times New Roman" w:hAnsi="Times New Roman" w:eastAsia="仿宋_GB2312" w:cs="Times New Roman"/>
          <w:color w:val="auto"/>
          <w:kern w:val="0"/>
          <w:sz w:val="30"/>
          <w:szCs w:val="30"/>
          <w:highlight w:val="none"/>
          <w:lang w:val="en-US" w:eastAsia="zh-CN" w:bidi="ar-SA"/>
        </w:rPr>
        <w:t>3.根据《公司法》和《重庆北碚稠州村镇银行公司章程》，重庆北碚稠州村镇银行有限责任公司股东于2024年8月29日作出如下决定：同意选举包庆洲、朱毅先生为重庆北碚稠州村镇银行有限责任公司董事、同意《重庆北碚稠州村镇银行2024年业务经营风险偏好策略》、同意《重庆北碚稠州村镇银行2024年半年度第三支柱报告》、同意《关于重新印发&lt;重庆北碚稠州村镇银行信息披露管理办法＞》、同意《关于重新印发&lt;重庆北碚稠州村镇银行反洗钱工作规定&gt;》、同意《关于重新印发&lt;重庆北碚稠州村镇银行声誉风险管理办法&gt;》、同意《关于重新印发&lt;重庆北碚稠州村镇银行资本管理办法&gt;》</w:t>
      </w:r>
    </w:p>
    <w:p>
      <w:pPr>
        <w:pStyle w:val="6"/>
        <w:keepNext w:val="0"/>
        <w:keepLines w:val="0"/>
        <w:pageBreakBefore w:val="0"/>
        <w:kinsoku/>
        <w:wordWrap/>
        <w:overflowPunct/>
        <w:topLinePunct w:val="0"/>
        <w:bidi w:val="0"/>
        <w:snapToGrid/>
        <w:spacing w:line="560" w:lineRule="exact"/>
        <w:rPr>
          <w:rFonts w:hint="default" w:ascii="Times New Roman" w:hAnsi="Times New Roman" w:eastAsia="仿宋_GB2312" w:cs="Times New Roman"/>
          <w:color w:val="auto"/>
          <w:kern w:val="0"/>
          <w:sz w:val="30"/>
          <w:szCs w:val="30"/>
          <w:highlight w:val="none"/>
          <w:lang w:val="en-US" w:eastAsia="zh-CN" w:bidi="ar-SA"/>
        </w:rPr>
      </w:pPr>
      <w:r>
        <w:rPr>
          <w:rFonts w:hint="default" w:ascii="Times New Roman" w:hAnsi="Times New Roman" w:eastAsia="仿宋_GB2312" w:cs="Times New Roman"/>
          <w:color w:val="auto"/>
          <w:kern w:val="0"/>
          <w:sz w:val="30"/>
          <w:szCs w:val="30"/>
          <w:highlight w:val="none"/>
          <w:lang w:val="en-US" w:eastAsia="zh-CN" w:bidi="ar-SA"/>
        </w:rPr>
        <w:t>4.根据《公司法》和《重庆北碚稠州村镇银行公司章程》，重庆北碚稠州村镇银行有限责任公司股东于2024年12月16日作出如下决定：同意《选举邓兰平先生为重庆北碚稠州村镇银行有限责任公司》董事、同意《姜蕾女士辞去重庆北碚稠州村镇银行有限责任公司监事会主席、监事》的议案、同意《选举章宜女士为重庆北碚稠州村镇银行有限责任公司》监事。</w:t>
      </w:r>
    </w:p>
    <w:p>
      <w:pPr>
        <w:pStyle w:val="6"/>
        <w:keepNext w:val="0"/>
        <w:keepLines w:val="0"/>
        <w:pageBreakBefore w:val="0"/>
        <w:kinsoku/>
        <w:wordWrap/>
        <w:overflowPunct/>
        <w:topLinePunct w:val="0"/>
        <w:bidi w:val="0"/>
        <w:snapToGrid/>
        <w:spacing w:line="560" w:lineRule="exact"/>
        <w:rPr>
          <w:rFonts w:hint="default" w:ascii="Times New Roman" w:hAnsi="Times New Roman" w:eastAsia="仿宋_GB2312" w:cs="Times New Roman"/>
          <w:color w:val="auto"/>
          <w:kern w:val="0"/>
          <w:sz w:val="30"/>
          <w:szCs w:val="30"/>
          <w:highlight w:val="none"/>
          <w:lang w:val="en-US" w:eastAsia="zh-CN" w:bidi="ar-SA"/>
        </w:rPr>
      </w:pPr>
      <w:r>
        <w:rPr>
          <w:rFonts w:hint="default" w:ascii="Times New Roman" w:hAnsi="Times New Roman" w:eastAsia="仿宋_GB2312" w:cs="Times New Roman"/>
          <w:color w:val="auto"/>
          <w:kern w:val="0"/>
          <w:sz w:val="30"/>
          <w:szCs w:val="30"/>
          <w:highlight w:val="none"/>
          <w:lang w:val="en-US" w:eastAsia="zh-CN" w:bidi="ar-SA"/>
        </w:rPr>
        <w:t>5.根据《公司法》和《重庆北碚稠州村镇银行公司章程》，重庆北碚稠州村镇银行有限责任公司股东于2024年12月16日作出如下决定：同意《选举邓兰平先生为重庆北碚稠州村镇银行有限责任公司》董事、同意《姜蕾女士辞去重庆北碚稠州村镇银行有限责任公司监事会主席、监事》的议案、同意《选举章宜女士为重庆北碚稠州村镇银行有限责任公司》监事、同意《重庆北碚稠州村镇银行有限责任公司董（监）事和高级管理人员履职问责办法》的议案。</w:t>
      </w:r>
    </w:p>
    <w:p>
      <w:pPr>
        <w:pStyle w:val="2"/>
        <w:keepNext w:val="0"/>
        <w:keepLines w:val="0"/>
        <w:pageBreakBefore w:val="0"/>
        <w:numPr>
          <w:ilvl w:val="0"/>
          <w:numId w:val="0"/>
        </w:numPr>
        <w:kinsoku/>
        <w:wordWrap/>
        <w:overflowPunct/>
        <w:topLinePunct w:val="0"/>
        <w:bidi w:val="0"/>
        <w:snapToGrid/>
        <w:spacing w:line="560" w:lineRule="exact"/>
        <w:ind w:firstLine="60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en-US" w:eastAsia="zh-CN"/>
        </w:rPr>
        <w:t>四</w:t>
      </w:r>
      <w:r>
        <w:rPr>
          <w:rFonts w:hint="default" w:ascii="Times New Roman" w:hAnsi="Times New Roman" w:eastAsia="仿宋_GB2312" w:cs="Times New Roman"/>
          <w:color w:val="auto"/>
          <w:sz w:val="30"/>
          <w:szCs w:val="30"/>
          <w:highlight w:val="none"/>
          <w:lang w:val="en-US" w:eastAsia="zh-CN"/>
        </w:rPr>
        <w:t>）董事会职责</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color w:val="auto"/>
          <w:kern w:val="0"/>
          <w:sz w:val="30"/>
          <w:szCs w:val="30"/>
          <w:highlight w:val="none"/>
          <w:lang w:val="en-US" w:eastAsia="zh-CN"/>
        </w:rPr>
        <w:t>董事会职责：按照我行《公司章程》</w:t>
      </w:r>
      <w:r>
        <w:rPr>
          <w:rFonts w:hint="default" w:ascii="Times New Roman" w:hAnsi="Times New Roman" w:eastAsia="仿宋_GB2312" w:cs="Times New Roman"/>
          <w:sz w:val="30"/>
          <w:szCs w:val="30"/>
          <w:highlight w:val="none"/>
          <w:lang w:val="zh-CN"/>
        </w:rPr>
        <w:t>董事会行使下列职权：</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1.</w:t>
      </w:r>
      <w:r>
        <w:rPr>
          <w:rFonts w:hint="default" w:ascii="Times New Roman" w:hAnsi="Times New Roman" w:eastAsia="仿宋_GB2312" w:cs="Times New Roman"/>
          <w:sz w:val="30"/>
          <w:szCs w:val="30"/>
          <w:highlight w:val="none"/>
          <w:lang w:val="zh-CN"/>
        </w:rPr>
        <w:t>向股东报告工作；</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lang w:val="zh-CN"/>
        </w:rPr>
        <w:t>执行股东的决议；</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lang w:val="zh-CN"/>
        </w:rPr>
        <w:t>决定本行的经营计划和投资方案</w:t>
      </w:r>
      <w:r>
        <w:rPr>
          <w:rFonts w:hint="default" w:ascii="Times New Roman" w:hAnsi="Times New Roman" w:eastAsia="仿宋_GB2312" w:cs="Times New Roman"/>
          <w:sz w:val="30"/>
          <w:szCs w:val="30"/>
          <w:highlight w:val="none"/>
          <w:lang w:val="zh-CN" w:eastAsia="zh-CN"/>
        </w:rPr>
        <w:t>，制定本行发展战略并监督战略实施，制定本行资本规划，承担资本或偿付能力管理最终责任</w:t>
      </w:r>
      <w:r>
        <w:rPr>
          <w:rFonts w:hint="default" w:ascii="Times New Roman" w:hAnsi="Times New Roman" w:eastAsia="仿宋_GB2312" w:cs="Times New Roman"/>
          <w:sz w:val="30"/>
          <w:szCs w:val="30"/>
          <w:highlight w:val="none"/>
          <w:lang w:val="zh-CN"/>
        </w:rPr>
        <w:t>；</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lang w:val="zh-CN"/>
        </w:rPr>
        <w:t>制订本行的年度财务预算方案、决算方案、利润分配方案和弥补亏损方案；</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5.</w:t>
      </w:r>
      <w:r>
        <w:rPr>
          <w:rFonts w:hint="default" w:ascii="Times New Roman" w:hAnsi="Times New Roman" w:eastAsia="仿宋_GB2312" w:cs="Times New Roman"/>
          <w:sz w:val="30"/>
          <w:szCs w:val="30"/>
          <w:highlight w:val="none"/>
          <w:lang w:val="zh-CN"/>
        </w:rPr>
        <w:t>制订本行增加或者减少注册资本</w:t>
      </w:r>
      <w:r>
        <w:rPr>
          <w:rFonts w:hint="default" w:ascii="Times New Roman" w:hAnsi="Times New Roman" w:eastAsia="仿宋_GB2312" w:cs="Times New Roman"/>
          <w:sz w:val="30"/>
          <w:szCs w:val="30"/>
          <w:highlight w:val="none"/>
          <w:lang w:val="zh-CN" w:eastAsia="zh-CN"/>
        </w:rPr>
        <w:t>，发行债券或者其他证券及上市的</w:t>
      </w:r>
      <w:r>
        <w:rPr>
          <w:rFonts w:hint="default" w:ascii="Times New Roman" w:hAnsi="Times New Roman" w:eastAsia="仿宋_GB2312" w:cs="Times New Roman"/>
          <w:sz w:val="30"/>
          <w:szCs w:val="30"/>
          <w:highlight w:val="none"/>
          <w:lang w:val="zh-CN"/>
        </w:rPr>
        <w:t>方案；</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6.</w:t>
      </w:r>
      <w:r>
        <w:rPr>
          <w:rFonts w:hint="default" w:ascii="Times New Roman" w:hAnsi="Times New Roman" w:eastAsia="仿宋_GB2312" w:cs="Times New Roman"/>
          <w:sz w:val="30"/>
          <w:szCs w:val="30"/>
          <w:highlight w:val="none"/>
          <w:lang w:val="zh-CN"/>
        </w:rPr>
        <w:t>决定本行内部管理机构及分支机构设置；</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7.</w:t>
      </w:r>
      <w:r>
        <w:rPr>
          <w:rFonts w:hint="default" w:ascii="Times New Roman" w:hAnsi="Times New Roman" w:eastAsia="仿宋_GB2312" w:cs="Times New Roman"/>
          <w:sz w:val="30"/>
          <w:szCs w:val="30"/>
          <w:highlight w:val="none"/>
          <w:lang w:val="zh-CN"/>
        </w:rPr>
        <w:t>制订本行的基本管理制度，</w:t>
      </w:r>
      <w:r>
        <w:rPr>
          <w:rFonts w:hint="default" w:ascii="Times New Roman" w:hAnsi="Times New Roman" w:eastAsia="仿宋_GB2312" w:cs="Times New Roman"/>
          <w:sz w:val="30"/>
          <w:szCs w:val="30"/>
          <w:highlight w:val="none"/>
          <w:lang w:val="zh-CN" w:eastAsia="zh-CN"/>
        </w:rPr>
        <w:t>制定本行风险容忍度、</w:t>
      </w:r>
      <w:r>
        <w:rPr>
          <w:rFonts w:hint="default" w:ascii="Times New Roman" w:hAnsi="Times New Roman" w:eastAsia="仿宋_GB2312" w:cs="Times New Roman"/>
          <w:sz w:val="30"/>
          <w:szCs w:val="30"/>
          <w:highlight w:val="none"/>
          <w:lang w:val="zh-CN"/>
        </w:rPr>
        <w:t>风险管理和内部控制政策</w:t>
      </w:r>
      <w:r>
        <w:rPr>
          <w:rFonts w:hint="default" w:ascii="Times New Roman" w:hAnsi="Times New Roman" w:eastAsia="仿宋_GB2312" w:cs="Times New Roman"/>
          <w:sz w:val="30"/>
          <w:szCs w:val="30"/>
          <w:highlight w:val="none"/>
          <w:lang w:val="zh-CN" w:eastAsia="zh-CN"/>
        </w:rPr>
        <w:t>，承担全面风险管理的最终责任</w:t>
      </w:r>
      <w:r>
        <w:rPr>
          <w:rFonts w:hint="default" w:ascii="Times New Roman" w:hAnsi="Times New Roman" w:eastAsia="仿宋_GB2312" w:cs="Times New Roman"/>
          <w:sz w:val="30"/>
          <w:szCs w:val="30"/>
          <w:highlight w:val="none"/>
          <w:lang w:val="zh-CN"/>
        </w:rPr>
        <w:t>；</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8.</w:t>
      </w:r>
      <w:r>
        <w:rPr>
          <w:rFonts w:hint="default" w:ascii="Times New Roman" w:hAnsi="Times New Roman" w:eastAsia="仿宋_GB2312" w:cs="Times New Roman"/>
          <w:sz w:val="30"/>
          <w:szCs w:val="30"/>
          <w:highlight w:val="none"/>
          <w:lang w:val="zh-CN" w:eastAsia="zh-CN"/>
        </w:rPr>
        <w:t>制订本行重大收购、收购本行股份或者合并、分立、解散及变更公司形式的方案；</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9.</w:t>
      </w:r>
      <w:r>
        <w:rPr>
          <w:rFonts w:hint="default" w:ascii="Times New Roman" w:hAnsi="Times New Roman" w:eastAsia="仿宋_GB2312" w:cs="Times New Roman"/>
          <w:sz w:val="30"/>
          <w:szCs w:val="30"/>
          <w:highlight w:val="none"/>
          <w:lang w:val="zh-CN" w:eastAsia="zh-CN"/>
        </w:rPr>
        <w:t>按照监管规定，聘任或者解聘高级管理人员，并决定其报酬、奖惩事项，监督高级管理层履行职责</w:t>
      </w:r>
      <w:r>
        <w:rPr>
          <w:rFonts w:hint="default" w:ascii="Times New Roman" w:hAnsi="Times New Roman" w:eastAsia="仿宋_GB2312" w:cs="Times New Roman"/>
          <w:sz w:val="30"/>
          <w:szCs w:val="30"/>
          <w:highlight w:val="none"/>
          <w:lang w:val="zh-CN"/>
        </w:rPr>
        <w:t>；</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10.</w:t>
      </w:r>
      <w:r>
        <w:rPr>
          <w:rFonts w:hint="default" w:ascii="Times New Roman" w:hAnsi="Times New Roman" w:eastAsia="仿宋_GB2312" w:cs="Times New Roman"/>
          <w:sz w:val="30"/>
          <w:szCs w:val="30"/>
          <w:highlight w:val="none"/>
          <w:lang w:val="zh-CN" w:eastAsia="zh-CN"/>
        </w:rPr>
        <w:t>依照法律法规、监管规定及本行章程，审议批准本行对外投资、资产购置、资产处置与核销、资产抵押、关联交易、数据治理等事项</w:t>
      </w:r>
      <w:r>
        <w:rPr>
          <w:rFonts w:hint="default" w:ascii="Times New Roman" w:hAnsi="Times New Roman" w:eastAsia="仿宋_GB2312" w:cs="Times New Roman"/>
          <w:sz w:val="30"/>
          <w:szCs w:val="30"/>
          <w:highlight w:val="none"/>
          <w:lang w:val="zh-CN"/>
        </w:rPr>
        <w:t>；重大投资项目应当组织有关专家、专业人员进行评审，并报股东大会批准</w:t>
      </w:r>
      <w:r>
        <w:rPr>
          <w:rFonts w:hint="default" w:ascii="Times New Roman" w:hAnsi="Times New Roman" w:eastAsia="仿宋_GB2312" w:cs="Times New Roman"/>
          <w:sz w:val="30"/>
          <w:szCs w:val="30"/>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11.</w:t>
      </w:r>
      <w:r>
        <w:rPr>
          <w:rFonts w:hint="default" w:ascii="Times New Roman" w:hAnsi="Times New Roman" w:eastAsia="仿宋_GB2312" w:cs="Times New Roman"/>
          <w:sz w:val="30"/>
          <w:szCs w:val="30"/>
          <w:highlight w:val="none"/>
          <w:lang w:val="zh-CN"/>
        </w:rPr>
        <w:t>负责本行信息披露事项</w:t>
      </w:r>
      <w:r>
        <w:rPr>
          <w:rFonts w:hint="default" w:ascii="Times New Roman" w:hAnsi="Times New Roman" w:eastAsia="仿宋_GB2312" w:cs="Times New Roman"/>
          <w:sz w:val="30"/>
          <w:szCs w:val="30"/>
          <w:highlight w:val="none"/>
          <w:lang w:val="zh-CN" w:eastAsia="zh-CN"/>
        </w:rPr>
        <w:t>，</w:t>
      </w:r>
      <w:r>
        <w:rPr>
          <w:rFonts w:hint="default" w:ascii="Times New Roman" w:hAnsi="Times New Roman" w:eastAsia="仿宋_GB2312" w:cs="Times New Roman"/>
          <w:sz w:val="30"/>
          <w:szCs w:val="30"/>
          <w:highlight w:val="none"/>
          <w:lang w:val="en-US" w:eastAsia="zh-CN"/>
        </w:rPr>
        <w:t>并对会计和财务报告的真实性、准确性、完整性和及时性承担最终责任</w:t>
      </w:r>
      <w:r>
        <w:rPr>
          <w:rFonts w:hint="default" w:ascii="Times New Roman" w:hAnsi="Times New Roman" w:eastAsia="仿宋_GB2312" w:cs="Times New Roman"/>
          <w:sz w:val="30"/>
          <w:szCs w:val="30"/>
          <w:highlight w:val="none"/>
          <w:lang w:val="zh-CN"/>
        </w:rPr>
        <w:t>；</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12.</w:t>
      </w:r>
      <w:r>
        <w:rPr>
          <w:rFonts w:hint="default" w:ascii="Times New Roman" w:hAnsi="Times New Roman" w:eastAsia="仿宋_GB2312" w:cs="Times New Roman"/>
          <w:sz w:val="30"/>
          <w:szCs w:val="30"/>
          <w:highlight w:val="none"/>
          <w:lang w:val="zh-CN"/>
        </w:rPr>
        <w:t>定期评估并完善本行公司治理；</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13.</w:t>
      </w:r>
      <w:r>
        <w:rPr>
          <w:rFonts w:hint="default" w:ascii="Times New Roman" w:hAnsi="Times New Roman" w:eastAsia="仿宋_GB2312" w:cs="Times New Roman"/>
          <w:sz w:val="30"/>
          <w:szCs w:val="30"/>
          <w:highlight w:val="none"/>
          <w:lang w:val="zh-CN"/>
        </w:rPr>
        <w:t>制订本行章程的修改方案</w:t>
      </w:r>
      <w:r>
        <w:rPr>
          <w:rFonts w:hint="default" w:ascii="Times New Roman" w:hAnsi="Times New Roman" w:eastAsia="仿宋_GB2312" w:cs="Times New Roman"/>
          <w:sz w:val="30"/>
          <w:szCs w:val="30"/>
          <w:highlight w:val="none"/>
          <w:lang w:val="zh-CN" w:eastAsia="zh-CN"/>
        </w:rPr>
        <w:t>，制定董事会议事规则，审议批准董事会专门委员会工作规则</w:t>
      </w:r>
      <w:r>
        <w:rPr>
          <w:rFonts w:hint="default" w:ascii="Times New Roman" w:hAnsi="Times New Roman" w:eastAsia="仿宋_GB2312" w:cs="Times New Roman"/>
          <w:sz w:val="30"/>
          <w:szCs w:val="30"/>
          <w:highlight w:val="none"/>
          <w:lang w:val="zh-CN"/>
        </w:rPr>
        <w:t>；</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14.</w:t>
      </w:r>
      <w:r>
        <w:rPr>
          <w:rFonts w:hint="default" w:ascii="Times New Roman" w:hAnsi="Times New Roman" w:eastAsia="仿宋_GB2312" w:cs="Times New Roman"/>
          <w:sz w:val="30"/>
          <w:szCs w:val="30"/>
          <w:highlight w:val="none"/>
          <w:lang w:val="zh-CN" w:eastAsia="zh-CN"/>
        </w:rPr>
        <w:t>提请股东聘用或者解聘为本行财务报告进行定期法定审计的会计师事务所；</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15.</w:t>
      </w:r>
      <w:r>
        <w:rPr>
          <w:rFonts w:hint="default" w:ascii="Times New Roman" w:hAnsi="Times New Roman" w:eastAsia="仿宋_GB2312" w:cs="Times New Roman"/>
          <w:sz w:val="30"/>
          <w:szCs w:val="30"/>
          <w:highlight w:val="none"/>
          <w:lang w:val="zh-CN" w:eastAsia="zh-CN"/>
        </w:rPr>
        <w:t>维护金融消费者和其他利益相关</w:t>
      </w:r>
      <w:r>
        <w:rPr>
          <w:rFonts w:hint="default" w:ascii="Times New Roman" w:hAnsi="Times New Roman" w:eastAsia="仿宋_GB2312" w:cs="Times New Roman"/>
          <w:sz w:val="30"/>
          <w:szCs w:val="30"/>
          <w:highlight w:val="none"/>
          <w:lang w:val="en-US" w:eastAsia="zh-CN"/>
        </w:rPr>
        <w:t>者</w:t>
      </w:r>
      <w:r>
        <w:rPr>
          <w:rFonts w:hint="default" w:ascii="Times New Roman" w:hAnsi="Times New Roman" w:eastAsia="仿宋_GB2312" w:cs="Times New Roman"/>
          <w:sz w:val="30"/>
          <w:szCs w:val="30"/>
          <w:highlight w:val="none"/>
          <w:lang w:val="zh-CN" w:eastAsia="zh-CN"/>
        </w:rPr>
        <w:t>合法权益；</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eastAsia="zh-CN"/>
        </w:rPr>
      </w:pPr>
      <w:r>
        <w:rPr>
          <w:rFonts w:hint="default" w:ascii="Times New Roman" w:hAnsi="Times New Roman" w:eastAsia="仿宋_GB2312" w:cs="Times New Roman"/>
          <w:sz w:val="30"/>
          <w:szCs w:val="30"/>
          <w:highlight w:val="none"/>
          <w:lang w:val="en-US" w:eastAsia="zh-CN"/>
        </w:rPr>
        <w:t>16.</w:t>
      </w:r>
      <w:r>
        <w:rPr>
          <w:rFonts w:hint="default" w:ascii="Times New Roman" w:hAnsi="Times New Roman" w:eastAsia="仿宋_GB2312" w:cs="Times New Roman"/>
          <w:sz w:val="30"/>
          <w:szCs w:val="30"/>
          <w:highlight w:val="none"/>
          <w:lang w:val="zh-CN" w:eastAsia="zh-CN"/>
        </w:rPr>
        <w:t>承担股东事务的管理责任；</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17.</w:t>
      </w:r>
      <w:r>
        <w:rPr>
          <w:rFonts w:hint="default" w:ascii="Times New Roman" w:hAnsi="Times New Roman" w:eastAsia="仿宋_GB2312" w:cs="Times New Roman"/>
          <w:sz w:val="30"/>
          <w:szCs w:val="30"/>
          <w:highlight w:val="none"/>
          <w:lang w:val="zh-CN"/>
        </w:rPr>
        <w:t>决定本行超过一定金额的赞助或捐赠款项；</w:t>
      </w:r>
    </w:p>
    <w:p>
      <w:pPr>
        <w:keepNext w:val="0"/>
        <w:keepLines w:val="0"/>
        <w:pageBreakBefore w:val="0"/>
        <w:kinsoku/>
        <w:wordWrap/>
        <w:overflowPunct/>
        <w:topLinePunct w:val="0"/>
        <w:autoSpaceDE w:val="0"/>
        <w:autoSpaceDN w:val="0"/>
        <w:bidi w:val="0"/>
        <w:adjustRightInd w:val="0"/>
        <w:snapToGrid/>
        <w:spacing w:line="560" w:lineRule="exact"/>
        <w:ind w:firstLine="594" w:firstLineChars="198"/>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18.</w:t>
      </w:r>
      <w:r>
        <w:rPr>
          <w:rFonts w:hint="default" w:ascii="Times New Roman" w:hAnsi="Times New Roman" w:eastAsia="仿宋_GB2312" w:cs="Times New Roman"/>
          <w:sz w:val="30"/>
          <w:szCs w:val="30"/>
          <w:highlight w:val="none"/>
          <w:lang w:val="zh-CN"/>
        </w:rPr>
        <w:t>法律法规、</w:t>
      </w:r>
      <w:r>
        <w:rPr>
          <w:rFonts w:hint="default" w:ascii="Times New Roman" w:hAnsi="Times New Roman" w:eastAsia="仿宋_GB2312" w:cs="Times New Roman"/>
          <w:sz w:val="30"/>
          <w:szCs w:val="30"/>
          <w:highlight w:val="none"/>
          <w:lang w:val="zh-CN" w:eastAsia="zh-CN"/>
        </w:rPr>
        <w:t>监管规定</w:t>
      </w:r>
      <w:r>
        <w:rPr>
          <w:rFonts w:hint="default" w:ascii="Times New Roman" w:hAnsi="Times New Roman" w:eastAsia="仿宋_GB2312" w:cs="Times New Roman"/>
          <w:sz w:val="30"/>
          <w:szCs w:val="30"/>
          <w:highlight w:val="none"/>
          <w:lang w:val="zh-CN"/>
        </w:rPr>
        <w:t>或本行章程规定，以及股东大会授予或者监管机构要求董事会行使的其他职权。</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sz w:val="30"/>
          <w:szCs w:val="30"/>
          <w:highlight w:val="none"/>
          <w:lang w:val="zh-CN"/>
        </w:rPr>
        <w:t>（</w:t>
      </w:r>
      <w:r>
        <w:rPr>
          <w:rFonts w:hint="eastAsia" w:ascii="Times New Roman" w:hAnsi="Times New Roman" w:eastAsia="仿宋_GB2312" w:cs="Times New Roman"/>
          <w:sz w:val="30"/>
          <w:szCs w:val="30"/>
          <w:highlight w:val="none"/>
          <w:lang w:val="en-US" w:eastAsia="zh-CN"/>
        </w:rPr>
        <w:t>五</w:t>
      </w:r>
      <w:r>
        <w:rPr>
          <w:rFonts w:hint="default" w:ascii="Times New Roman" w:hAnsi="Times New Roman" w:eastAsia="仿宋_GB2312" w:cs="Times New Roman"/>
          <w:sz w:val="30"/>
          <w:szCs w:val="30"/>
          <w:highlight w:val="none"/>
          <w:lang w:val="zh-CN"/>
        </w:rPr>
        <w:t>）</w:t>
      </w:r>
      <w:r>
        <w:rPr>
          <w:rFonts w:hint="default" w:ascii="Times New Roman" w:hAnsi="Times New Roman" w:eastAsia="仿宋_GB2312" w:cs="Times New Roman"/>
          <w:b/>
          <w:sz w:val="30"/>
          <w:szCs w:val="30"/>
          <w:highlight w:val="none"/>
          <w:lang w:val="en-US" w:eastAsia="zh-CN"/>
        </w:rPr>
        <w:t>2024年召开董事会情况</w:t>
      </w:r>
      <w:r>
        <w:rPr>
          <w:rFonts w:hint="default" w:ascii="Times New Roman" w:hAnsi="Times New Roman" w:eastAsia="仿宋_GB2312" w:cs="Times New Roman"/>
          <w:color w:val="auto"/>
          <w:kern w:val="0"/>
          <w:sz w:val="30"/>
          <w:szCs w:val="30"/>
          <w:highlight w:val="none"/>
          <w:lang w:val="en-US" w:eastAsia="zh-CN"/>
        </w:rPr>
        <w:t>：2024年我行共召开4次董事会1次临时董事会，分别为2024年3月25日召开的</w:t>
      </w:r>
      <w:r>
        <w:rPr>
          <w:rFonts w:hint="default" w:ascii="Times New Roman" w:hAnsi="Times New Roman" w:eastAsia="仿宋_GB2312" w:cs="Times New Roman"/>
          <w:color w:val="auto"/>
          <w:kern w:val="0"/>
          <w:sz w:val="30"/>
          <w:szCs w:val="30"/>
          <w:highlight w:val="none"/>
        </w:rPr>
        <w:t>重庆北碚稠州村镇银行第二届董事会第</w:t>
      </w:r>
      <w:r>
        <w:rPr>
          <w:rFonts w:hint="default" w:ascii="Times New Roman" w:hAnsi="Times New Roman" w:eastAsia="仿宋_GB2312" w:cs="Times New Roman"/>
          <w:color w:val="auto"/>
          <w:kern w:val="0"/>
          <w:sz w:val="30"/>
          <w:szCs w:val="30"/>
          <w:highlight w:val="none"/>
          <w:lang w:val="en-US" w:eastAsia="zh-CN"/>
        </w:rPr>
        <w:t>九</w:t>
      </w:r>
      <w:r>
        <w:rPr>
          <w:rFonts w:hint="default" w:ascii="Times New Roman" w:hAnsi="Times New Roman" w:eastAsia="仿宋_GB2312" w:cs="Times New Roman"/>
          <w:color w:val="auto"/>
          <w:kern w:val="0"/>
          <w:sz w:val="30"/>
          <w:szCs w:val="30"/>
          <w:highlight w:val="none"/>
        </w:rPr>
        <w:t>次会议</w:t>
      </w:r>
      <w:r>
        <w:rPr>
          <w:rFonts w:hint="default" w:ascii="Times New Roman" w:hAnsi="Times New Roman" w:eastAsia="仿宋_GB2312" w:cs="Times New Roman"/>
          <w:color w:val="auto"/>
          <w:kern w:val="0"/>
          <w:sz w:val="30"/>
          <w:szCs w:val="30"/>
          <w:highlight w:val="none"/>
          <w:lang w:eastAsia="zh-CN"/>
        </w:rPr>
        <w:t>，</w:t>
      </w:r>
      <w:r>
        <w:rPr>
          <w:rFonts w:hint="default" w:ascii="Times New Roman" w:hAnsi="Times New Roman" w:eastAsia="仿宋_GB2312" w:cs="Times New Roman"/>
          <w:color w:val="auto"/>
          <w:kern w:val="0"/>
          <w:sz w:val="30"/>
          <w:szCs w:val="30"/>
          <w:highlight w:val="none"/>
          <w:lang w:val="en-US" w:eastAsia="zh-CN"/>
        </w:rPr>
        <w:t>2024年6月25日召开的</w:t>
      </w:r>
      <w:r>
        <w:rPr>
          <w:rFonts w:hint="default" w:ascii="Times New Roman" w:hAnsi="Times New Roman" w:eastAsia="仿宋_GB2312" w:cs="Times New Roman"/>
          <w:color w:val="auto"/>
          <w:kern w:val="0"/>
          <w:sz w:val="30"/>
          <w:szCs w:val="30"/>
          <w:highlight w:val="none"/>
        </w:rPr>
        <w:t>重庆北碚稠州村镇银行第二届</w:t>
      </w:r>
      <w:r>
        <w:rPr>
          <w:rFonts w:hint="default" w:ascii="Times New Roman" w:hAnsi="Times New Roman" w:eastAsia="仿宋_GB2312" w:cs="Times New Roman"/>
          <w:color w:val="auto"/>
          <w:kern w:val="0"/>
          <w:sz w:val="30"/>
          <w:szCs w:val="30"/>
          <w:highlight w:val="none"/>
          <w:lang w:val="en-US" w:eastAsia="zh-CN"/>
        </w:rPr>
        <w:t>董事会第十次会议，2024年8月29日召开的重庆北碚稠州村镇银行第二届董事会第十一次会议，2024年12月16日召开的</w:t>
      </w:r>
      <w:r>
        <w:rPr>
          <w:rFonts w:hint="default" w:ascii="Times New Roman" w:hAnsi="Times New Roman" w:eastAsia="仿宋_GB2312" w:cs="Times New Roman"/>
          <w:color w:val="auto"/>
          <w:kern w:val="0"/>
          <w:sz w:val="30"/>
          <w:szCs w:val="30"/>
          <w:highlight w:val="none"/>
        </w:rPr>
        <w:t>重庆北碚稠州村镇银行有限责任公司第</w:t>
      </w:r>
      <w:r>
        <w:rPr>
          <w:rFonts w:hint="default" w:ascii="Times New Roman" w:hAnsi="Times New Roman" w:eastAsia="仿宋_GB2312" w:cs="Times New Roman"/>
          <w:color w:val="auto"/>
          <w:kern w:val="0"/>
          <w:sz w:val="30"/>
          <w:szCs w:val="30"/>
          <w:highlight w:val="none"/>
          <w:lang w:val="en-US" w:eastAsia="zh-CN"/>
        </w:rPr>
        <w:t>二</w:t>
      </w:r>
      <w:r>
        <w:rPr>
          <w:rFonts w:hint="default" w:ascii="Times New Roman" w:hAnsi="Times New Roman" w:eastAsia="仿宋_GB2312" w:cs="Times New Roman"/>
          <w:color w:val="auto"/>
          <w:kern w:val="0"/>
          <w:sz w:val="30"/>
          <w:szCs w:val="30"/>
          <w:highlight w:val="none"/>
        </w:rPr>
        <w:t>届董事会第</w:t>
      </w:r>
      <w:r>
        <w:rPr>
          <w:rFonts w:hint="default" w:ascii="Times New Roman" w:hAnsi="Times New Roman" w:eastAsia="仿宋_GB2312" w:cs="Times New Roman"/>
          <w:color w:val="auto"/>
          <w:kern w:val="0"/>
          <w:sz w:val="30"/>
          <w:szCs w:val="30"/>
          <w:highlight w:val="none"/>
          <w:lang w:val="en-US" w:eastAsia="zh-CN"/>
        </w:rPr>
        <w:t>十二</w:t>
      </w:r>
      <w:r>
        <w:rPr>
          <w:rFonts w:hint="default" w:ascii="Times New Roman" w:hAnsi="Times New Roman" w:eastAsia="仿宋_GB2312" w:cs="Times New Roman"/>
          <w:color w:val="auto"/>
          <w:kern w:val="0"/>
          <w:sz w:val="30"/>
          <w:szCs w:val="30"/>
          <w:highlight w:val="none"/>
        </w:rPr>
        <w:t>次</w:t>
      </w:r>
      <w:r>
        <w:rPr>
          <w:rFonts w:hint="default" w:ascii="Times New Roman" w:hAnsi="Times New Roman" w:eastAsia="仿宋_GB2312" w:cs="Times New Roman"/>
          <w:color w:val="auto"/>
          <w:kern w:val="0"/>
          <w:sz w:val="30"/>
          <w:szCs w:val="30"/>
          <w:highlight w:val="none"/>
          <w:lang w:eastAsia="zh-CN"/>
        </w:rPr>
        <w:t>（</w:t>
      </w:r>
      <w:r>
        <w:rPr>
          <w:rFonts w:hint="default" w:ascii="Times New Roman" w:hAnsi="Times New Roman" w:eastAsia="仿宋_GB2312" w:cs="Times New Roman"/>
          <w:color w:val="auto"/>
          <w:kern w:val="0"/>
          <w:sz w:val="30"/>
          <w:szCs w:val="30"/>
          <w:highlight w:val="none"/>
          <w:lang w:val="en-US" w:eastAsia="zh-CN"/>
        </w:rPr>
        <w:t>临时</w:t>
      </w:r>
      <w:r>
        <w:rPr>
          <w:rFonts w:hint="default" w:ascii="Times New Roman" w:hAnsi="Times New Roman" w:eastAsia="仿宋_GB2312" w:cs="Times New Roman"/>
          <w:color w:val="auto"/>
          <w:kern w:val="0"/>
          <w:sz w:val="30"/>
          <w:szCs w:val="30"/>
          <w:highlight w:val="none"/>
          <w:lang w:eastAsia="zh-CN"/>
        </w:rPr>
        <w:t>）</w:t>
      </w:r>
      <w:r>
        <w:rPr>
          <w:rFonts w:hint="default" w:ascii="Times New Roman" w:hAnsi="Times New Roman" w:eastAsia="仿宋_GB2312" w:cs="Times New Roman"/>
          <w:color w:val="auto"/>
          <w:kern w:val="0"/>
          <w:sz w:val="30"/>
          <w:szCs w:val="30"/>
          <w:highlight w:val="none"/>
        </w:rPr>
        <w:t>会议</w:t>
      </w:r>
      <w:r>
        <w:rPr>
          <w:rFonts w:hint="default" w:ascii="Times New Roman" w:hAnsi="Times New Roman" w:eastAsia="仿宋_GB2312" w:cs="Times New Roman"/>
          <w:color w:val="auto"/>
          <w:kern w:val="0"/>
          <w:sz w:val="30"/>
          <w:szCs w:val="30"/>
          <w:highlight w:val="none"/>
          <w:lang w:eastAsia="zh-CN"/>
        </w:rPr>
        <w:t>，</w:t>
      </w:r>
      <w:r>
        <w:rPr>
          <w:rFonts w:hint="default" w:ascii="Times New Roman" w:hAnsi="Times New Roman" w:eastAsia="仿宋_GB2312" w:cs="Times New Roman"/>
          <w:color w:val="auto"/>
          <w:kern w:val="0"/>
          <w:sz w:val="30"/>
          <w:szCs w:val="30"/>
          <w:highlight w:val="none"/>
          <w:lang w:val="en-US" w:eastAsia="zh-CN"/>
        </w:rPr>
        <w:t>2024年12月26日召开的重庆北碚稠州村镇银行有限责任公司第二届董事会第十三次会议。2024年的董事会均为全部董事出席。</w:t>
      </w:r>
    </w:p>
    <w:p>
      <w:pPr>
        <w:keepNext w:val="0"/>
        <w:keepLines w:val="0"/>
        <w:pageBreakBefore w:val="0"/>
        <w:kinsoku/>
        <w:wordWrap/>
        <w:overflowPunct/>
        <w:topLinePunct w:val="0"/>
        <w:bidi w:val="0"/>
        <w:snapToGrid/>
        <w:spacing w:line="560" w:lineRule="exact"/>
        <w:ind w:firstLine="3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六</w:t>
      </w:r>
      <w:r>
        <w:rPr>
          <w:rFonts w:hint="default" w:ascii="Times New Roman" w:hAnsi="Times New Roman" w:eastAsia="仿宋_GB2312" w:cs="Times New Roman"/>
          <w:color w:val="auto"/>
          <w:sz w:val="30"/>
          <w:szCs w:val="30"/>
          <w:highlight w:val="none"/>
        </w:rPr>
        <w:t>）关于董事、董事会及其专门委员会</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截至报告期末，公司董事会由</w:t>
      </w:r>
      <w:r>
        <w:rPr>
          <w:rFonts w:hint="default"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名董事组成，其中股东董事</w:t>
      </w:r>
      <w:r>
        <w:rPr>
          <w:rFonts w:hint="default" w:ascii="Times New Roman" w:hAnsi="Times New Roman" w:eastAsia="仿宋_GB2312" w:cs="Times New Roman"/>
          <w:color w:val="auto"/>
          <w:sz w:val="30"/>
          <w:szCs w:val="30"/>
          <w:highlight w:val="none"/>
          <w:lang w:val="en-US" w:eastAsia="zh-CN"/>
        </w:rPr>
        <w:t>1</w:t>
      </w:r>
      <w:r>
        <w:rPr>
          <w:rFonts w:hint="default" w:ascii="Times New Roman" w:hAnsi="Times New Roman" w:eastAsia="仿宋_GB2312" w:cs="Times New Roman"/>
          <w:color w:val="auto"/>
          <w:sz w:val="30"/>
          <w:szCs w:val="30"/>
          <w:highlight w:val="none"/>
        </w:rPr>
        <w:t>名，职工董事</w:t>
      </w:r>
      <w:r>
        <w:rPr>
          <w:rFonts w:hint="default"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rPr>
        <w:t>名。符合监管规定要求。公司的董事均拥有丰富的管理经验和经济金融领域的工作经历。合理的董事结构、丰富的从业经验、多元化的专业背景保持了董事会应有的独立性，也提升了董事会的科学决策能力。</w:t>
      </w:r>
    </w:p>
    <w:p>
      <w:pPr>
        <w:keepNext w:val="0"/>
        <w:keepLines w:val="0"/>
        <w:pageBreakBefore w:val="0"/>
        <w:kinsoku/>
        <w:wordWrap/>
        <w:overflowPunct/>
        <w:topLinePunct w:val="0"/>
        <w:bidi w:val="0"/>
        <w:snapToGrid/>
        <w:spacing w:line="560" w:lineRule="exact"/>
        <w:ind w:firstLine="3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报告期内，公司共召开例行董事会会议</w:t>
      </w:r>
      <w:r>
        <w:rPr>
          <w:rFonts w:hint="default"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次，临时董事会</w:t>
      </w:r>
      <w:r>
        <w:rPr>
          <w:rFonts w:hint="default" w:ascii="Times New Roman" w:hAnsi="Times New Roman" w:eastAsia="仿宋_GB2312" w:cs="Times New Roman"/>
          <w:color w:val="auto"/>
          <w:sz w:val="30"/>
          <w:szCs w:val="30"/>
          <w:highlight w:val="none"/>
          <w:lang w:val="en-US" w:eastAsia="zh-CN"/>
        </w:rPr>
        <w:t>1</w:t>
      </w:r>
      <w:r>
        <w:rPr>
          <w:rFonts w:hint="default" w:ascii="Times New Roman" w:hAnsi="Times New Roman" w:eastAsia="仿宋_GB2312" w:cs="Times New Roman"/>
          <w:color w:val="auto"/>
          <w:sz w:val="30"/>
          <w:szCs w:val="30"/>
          <w:highlight w:val="none"/>
        </w:rPr>
        <w:t>次，审议、讨论通过决议</w:t>
      </w:r>
      <w:r>
        <w:rPr>
          <w:rFonts w:hint="default" w:ascii="Times New Roman" w:hAnsi="Times New Roman" w:eastAsia="仿宋_GB2312" w:cs="Times New Roman"/>
          <w:color w:val="auto"/>
          <w:kern w:val="0"/>
          <w:sz w:val="30"/>
          <w:szCs w:val="30"/>
          <w:highlight w:val="none"/>
          <w:lang w:val="en-US" w:eastAsia="zh-CN"/>
        </w:rPr>
        <w:t>48</w:t>
      </w:r>
      <w:r>
        <w:rPr>
          <w:rFonts w:hint="default" w:ascii="Times New Roman" w:hAnsi="Times New Roman" w:eastAsia="仿宋_GB2312" w:cs="Times New Roman"/>
          <w:color w:val="auto"/>
          <w:kern w:val="0"/>
          <w:sz w:val="30"/>
          <w:szCs w:val="30"/>
          <w:highlight w:val="none"/>
        </w:rPr>
        <w:t>项。除认真审议定期报告、财务预算、利润分配等常规事项外，董事会对公司战略管理、薪酬绩效考核、风险管理等方面给予了高度关注，充分发挥了董事会的指导决策职能</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kern w:val="0"/>
          <w:sz w:val="30"/>
          <w:szCs w:val="30"/>
          <w:highlight w:val="none"/>
        </w:rPr>
        <w:t>报告期内，各位董事能够积极参加监管部门和本公司组织会谈，展现了高度的责任心和良好的专业素养，切实维护了本公司和体股东的合法权益。</w:t>
      </w:r>
    </w:p>
    <w:p>
      <w:pPr>
        <w:keepNext w:val="0"/>
        <w:keepLines w:val="0"/>
        <w:pageBreakBefore w:val="0"/>
        <w:kinsoku/>
        <w:wordWrap/>
        <w:overflowPunct/>
        <w:topLinePunct w:val="0"/>
        <w:bidi w:val="0"/>
        <w:snapToGrid/>
        <w:spacing w:line="560" w:lineRule="exact"/>
        <w:ind w:firstLine="3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rPr>
        <w:t xml:space="preserve"> 本</w:t>
      </w:r>
      <w:r>
        <w:rPr>
          <w:rFonts w:hint="default" w:ascii="Times New Roman" w:hAnsi="Times New Roman" w:eastAsia="仿宋_GB2312" w:cs="Times New Roman"/>
          <w:color w:val="auto"/>
          <w:sz w:val="30"/>
          <w:szCs w:val="30"/>
          <w:highlight w:val="none"/>
        </w:rPr>
        <w:t>公司董事会下设风险管理与关联交易控制委员会、薪酬与考核委员会、审计委员会、“三农”与小微企业金融服务委员会</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lang w:val="en-US" w:eastAsia="zh-CN"/>
        </w:rPr>
        <w:t>消费者保护委员会</w:t>
      </w:r>
      <w:r>
        <w:rPr>
          <w:rFonts w:hint="default" w:ascii="Times New Roman" w:hAnsi="Times New Roman" w:eastAsia="仿宋_GB2312" w:cs="Times New Roman"/>
          <w:color w:val="auto"/>
          <w:sz w:val="30"/>
          <w:szCs w:val="30"/>
          <w:highlight w:val="none"/>
        </w:rPr>
        <w:t>。董事会各专门委员会认真履行职责，针对董事会决策事项提出专业意见，对于提高管理水平，加强风险控制，改善治理结构，保护投资者合法权益起到了积极作用。</w:t>
      </w:r>
    </w:p>
    <w:p>
      <w:pPr>
        <w:pStyle w:val="2"/>
        <w:keepNext w:val="0"/>
        <w:keepLines w:val="0"/>
        <w:pageBreakBefore w:val="0"/>
        <w:numPr>
          <w:ilvl w:val="0"/>
          <w:numId w:val="0"/>
        </w:numPr>
        <w:kinsoku/>
        <w:wordWrap/>
        <w:overflowPunct/>
        <w:topLinePunct w:val="0"/>
        <w:bidi w:val="0"/>
        <w:snapToGrid/>
        <w:spacing w:line="560" w:lineRule="exact"/>
        <w:ind w:firstLine="600" w:firstLineChars="200"/>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（七）</w:t>
      </w:r>
      <w:r>
        <w:rPr>
          <w:rFonts w:hint="default" w:ascii="Times New Roman" w:hAnsi="Times New Roman" w:eastAsia="仿宋_GB2312" w:cs="Times New Roman"/>
          <w:color w:val="auto"/>
          <w:sz w:val="30"/>
          <w:szCs w:val="30"/>
          <w:highlight w:val="none"/>
          <w:lang w:val="en-US" w:eastAsia="zh-CN"/>
        </w:rPr>
        <w:t>监事会职责</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1.</w:t>
      </w:r>
      <w:r>
        <w:rPr>
          <w:rFonts w:hint="default" w:ascii="Times New Roman" w:hAnsi="Times New Roman" w:eastAsia="仿宋_GB2312" w:cs="Times New Roman"/>
          <w:sz w:val="30"/>
          <w:szCs w:val="30"/>
          <w:highlight w:val="none"/>
          <w:lang w:val="zh-CN"/>
        </w:rPr>
        <w:t>监督董事会、高级管理层履行职责情况；</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lang w:val="zh-CN"/>
        </w:rPr>
        <w:t>要求董事、董事长及高级管理人员纠正其损害本行利益的行为；对违反法律、行政法规、本行章程的董事、高级管理人员提出罢免的建议；</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lang w:val="zh-CN"/>
        </w:rPr>
        <w:t>检查监督本行的财务管理和活动；</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lang w:val="zh-CN"/>
        </w:rPr>
        <w:t>对董事、董事长及高级管理人员进行质询；</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5.</w:t>
      </w:r>
      <w:r>
        <w:rPr>
          <w:rFonts w:hint="default" w:ascii="Times New Roman" w:hAnsi="Times New Roman" w:eastAsia="仿宋_GB2312" w:cs="Times New Roman"/>
          <w:sz w:val="30"/>
          <w:szCs w:val="30"/>
          <w:highlight w:val="none"/>
          <w:lang w:val="zh-CN"/>
        </w:rPr>
        <w:t>依照公司法第一百五十一条的规定，对董事、高级管理人员提起诉讼。</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6.</w:t>
      </w:r>
      <w:r>
        <w:rPr>
          <w:rFonts w:hint="default" w:ascii="Times New Roman" w:hAnsi="Times New Roman" w:eastAsia="仿宋_GB2312" w:cs="Times New Roman"/>
          <w:sz w:val="30"/>
          <w:szCs w:val="30"/>
          <w:highlight w:val="none"/>
          <w:lang w:val="zh-CN"/>
        </w:rPr>
        <w:t>法律法规、行政规章及本章程规定应当由监事会行使的职权。</w:t>
      </w:r>
    </w:p>
    <w:p>
      <w:pPr>
        <w:keepNext w:val="0"/>
        <w:keepLines w:val="0"/>
        <w:pageBreakBefore w:val="0"/>
        <w:kinsoku/>
        <w:wordWrap/>
        <w:overflowPunct/>
        <w:topLinePunct w:val="0"/>
        <w:bidi w:val="0"/>
        <w:snapToGrid/>
        <w:spacing w:line="560" w:lineRule="exact"/>
        <w:ind w:firstLine="3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八</w:t>
      </w:r>
      <w:r>
        <w:rPr>
          <w:rFonts w:hint="default" w:ascii="Times New Roman" w:hAnsi="Times New Roman" w:eastAsia="仿宋_GB2312" w:cs="Times New Roman"/>
          <w:color w:val="auto"/>
          <w:sz w:val="30"/>
          <w:szCs w:val="30"/>
          <w:highlight w:val="none"/>
        </w:rPr>
        <w:t>）关于监事、监事会及其专门委员会</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报告期末，公司监事会成员3名，其中职工监事</w:t>
      </w:r>
      <w:r>
        <w:rPr>
          <w:rFonts w:hint="default" w:ascii="Times New Roman" w:hAnsi="Times New Roman"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rPr>
        <w:t>名，股东监事1名</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公司监事会的人数和人员构成均符合法律法规和《公司章程》的规定。</w:t>
      </w:r>
    </w:p>
    <w:p>
      <w:pPr>
        <w:keepNext w:val="0"/>
        <w:keepLines w:val="0"/>
        <w:pageBreakBefore w:val="0"/>
        <w:kinsoku/>
        <w:wordWrap/>
        <w:overflowPunct/>
        <w:topLinePunct w:val="0"/>
        <w:bidi w:val="0"/>
        <w:snapToGrid/>
        <w:spacing w:line="560" w:lineRule="exact"/>
        <w:ind w:firstLine="600" w:firstLineChars="200"/>
        <w:rPr>
          <w:rFonts w:hint="eastAsia"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rPr>
        <w:t>报告期内，本公司共召开监事会会议</w:t>
      </w:r>
      <w:r>
        <w:rPr>
          <w:rFonts w:hint="default" w:ascii="Times New Roman" w:hAnsi="Times New Roman" w:eastAsia="仿宋_GB2312" w:cs="Times New Roman"/>
          <w:bCs/>
          <w:color w:val="auto"/>
          <w:sz w:val="30"/>
          <w:szCs w:val="30"/>
          <w:highlight w:val="none"/>
          <w:lang w:val="en-US" w:eastAsia="zh-CN"/>
        </w:rPr>
        <w:t>5</w:t>
      </w:r>
      <w:r>
        <w:rPr>
          <w:rFonts w:hint="default" w:ascii="Times New Roman" w:hAnsi="Times New Roman" w:eastAsia="仿宋_GB2312" w:cs="Times New Roman"/>
          <w:bCs/>
          <w:color w:val="auto"/>
          <w:sz w:val="30"/>
          <w:szCs w:val="30"/>
          <w:highlight w:val="none"/>
        </w:rPr>
        <w:t>次。会议审议通过</w:t>
      </w:r>
      <w:r>
        <w:rPr>
          <w:rFonts w:hint="default" w:ascii="Times New Roman" w:hAnsi="Times New Roman" w:eastAsia="仿宋_GB2312" w:cs="Times New Roman"/>
          <w:color w:val="auto"/>
          <w:sz w:val="30"/>
          <w:szCs w:val="30"/>
          <w:highlight w:val="none"/>
        </w:rPr>
        <w:t>了包括监事会工作报告、财务报告、内控评价报告等</w:t>
      </w:r>
      <w:r>
        <w:rPr>
          <w:rFonts w:hint="default" w:ascii="Times New Roman" w:hAnsi="Times New Roman" w:eastAsia="仿宋_GB2312" w:cs="Times New Roman"/>
          <w:color w:val="auto"/>
          <w:sz w:val="30"/>
          <w:szCs w:val="30"/>
          <w:highlight w:val="none"/>
          <w:lang w:val="en-US" w:eastAsia="zh-CN"/>
        </w:rPr>
        <w:t>52</w:t>
      </w:r>
      <w:r>
        <w:rPr>
          <w:rFonts w:hint="default" w:ascii="Times New Roman" w:hAnsi="Times New Roman" w:eastAsia="仿宋_GB2312" w:cs="Times New Roman"/>
          <w:color w:val="auto"/>
          <w:sz w:val="30"/>
          <w:szCs w:val="30"/>
          <w:highlight w:val="none"/>
        </w:rPr>
        <w:t>项议案。</w:t>
      </w:r>
      <w:r>
        <w:rPr>
          <w:rFonts w:hint="eastAsia" w:ascii="Times New Roman" w:hAnsi="Times New Roman" w:eastAsia="仿宋_GB2312" w:cs="Times New Roman"/>
          <w:color w:val="auto"/>
          <w:sz w:val="30"/>
          <w:szCs w:val="30"/>
          <w:highlight w:val="none"/>
          <w:lang w:val="en-US" w:eastAsia="zh-CN"/>
        </w:rPr>
        <w:t xml:space="preserve">   </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Cs/>
          <w:color w:val="auto"/>
          <w:sz w:val="30"/>
          <w:szCs w:val="30"/>
          <w:highlight w:val="none"/>
        </w:rPr>
        <w:t>报告期内，各位监事勤勉尽职，通过列席董事会会议、审阅公司上报的文件、听取管理层的工作报告等多种方式，对本公司的经营情况、财务活动、风险管理与控制、董事会执行股东决议情况进行有效监督，并积极发表意见，切实履行了《公司章程》赋予的监督职责，促进了本公司的稳健发展。</w:t>
      </w:r>
    </w:p>
    <w:p>
      <w:pPr>
        <w:keepNext w:val="0"/>
        <w:keepLines w:val="0"/>
        <w:pageBreakBefore w:val="0"/>
        <w:kinsoku/>
        <w:wordWrap/>
        <w:overflowPunct/>
        <w:topLinePunct w:val="0"/>
        <w:bidi w:val="0"/>
        <w:snapToGrid/>
        <w:spacing w:line="560" w:lineRule="exact"/>
        <w:ind w:firstLine="3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九</w:t>
      </w:r>
      <w:r>
        <w:rPr>
          <w:rFonts w:hint="default" w:ascii="Times New Roman" w:hAnsi="Times New Roman" w:eastAsia="仿宋_GB2312" w:cs="Times New Roman"/>
          <w:color w:val="auto"/>
          <w:sz w:val="30"/>
          <w:szCs w:val="30"/>
          <w:highlight w:val="none"/>
        </w:rPr>
        <w:t>）关于高级管理层</w:t>
      </w:r>
    </w:p>
    <w:p>
      <w:pPr>
        <w:keepNext w:val="0"/>
        <w:keepLines w:val="0"/>
        <w:pageBreakBefore w:val="0"/>
        <w:kinsoku/>
        <w:wordWrap/>
        <w:overflowPunct/>
        <w:topLinePunct w:val="0"/>
        <w:bidi w:val="0"/>
        <w:snapToGrid/>
        <w:spacing w:line="560" w:lineRule="exact"/>
        <w:ind w:firstLine="3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本公司高级管理层对董事会负责，接受监事会监督，依照法律法规、公司章程及董事会的授权，组织开展经营管理活动。本</w:t>
      </w:r>
      <w:r>
        <w:rPr>
          <w:rFonts w:hint="default" w:ascii="Times New Roman" w:hAnsi="Times New Roman" w:eastAsia="仿宋_GB2312" w:cs="Times New Roman"/>
          <w:color w:val="auto"/>
          <w:kern w:val="0"/>
          <w:sz w:val="30"/>
          <w:szCs w:val="30"/>
          <w:highlight w:val="none"/>
        </w:rPr>
        <w:t>公司的高级管理层人员结构合理、职责分工明确，</w:t>
      </w:r>
      <w:r>
        <w:rPr>
          <w:rFonts w:hint="default" w:ascii="Times New Roman" w:hAnsi="Times New Roman" w:eastAsia="仿宋_GB2312" w:cs="Times New Roman"/>
          <w:color w:val="auto"/>
          <w:sz w:val="30"/>
          <w:szCs w:val="30"/>
          <w:highlight w:val="none"/>
        </w:rPr>
        <w:t>行长对日常经营管理工作全面负责，</w:t>
      </w:r>
      <w:r>
        <w:rPr>
          <w:rFonts w:hint="default" w:ascii="Times New Roman" w:hAnsi="Times New Roman" w:eastAsia="仿宋_GB2312" w:cs="Times New Roman"/>
          <w:color w:val="auto"/>
          <w:kern w:val="0"/>
          <w:sz w:val="30"/>
          <w:szCs w:val="30"/>
          <w:highlight w:val="none"/>
          <w:lang w:val="en-US" w:eastAsia="zh-CN"/>
        </w:rPr>
        <w:t>行长助理</w:t>
      </w:r>
      <w:r>
        <w:rPr>
          <w:rFonts w:hint="default" w:ascii="Times New Roman" w:hAnsi="Times New Roman" w:eastAsia="仿宋_GB2312" w:cs="Times New Roman"/>
          <w:color w:val="auto"/>
          <w:kern w:val="0"/>
          <w:sz w:val="30"/>
          <w:szCs w:val="30"/>
          <w:highlight w:val="none"/>
        </w:rPr>
        <w:t>协助行长开展工作。</w:t>
      </w:r>
      <w:r>
        <w:rPr>
          <w:rFonts w:hint="default" w:ascii="Times New Roman" w:hAnsi="Times New Roman" w:eastAsia="仿宋_GB2312" w:cs="Times New Roman"/>
          <w:color w:val="auto"/>
          <w:sz w:val="30"/>
          <w:szCs w:val="30"/>
          <w:highlight w:val="none"/>
        </w:rPr>
        <w:t>公司的高级管理人员均具备较强的管理能力、市场应变能力和创新能力，由董事会聘任，并经监管部门依法核准。报告期内，本公司高级管理层在董事会的领导下，坚持“低成本、低消耗、轻模式”战略，加强对全行经营发展的统筹安排，持续提高精细化管理水平，不断提升资源配置效率，促进了各项业务的稳健发展。</w:t>
      </w:r>
    </w:p>
    <w:p>
      <w:pPr>
        <w:keepNext w:val="0"/>
        <w:keepLines w:val="0"/>
        <w:pageBreakBefore w:val="0"/>
        <w:kinsoku/>
        <w:wordWrap/>
        <w:overflowPunct/>
        <w:topLinePunct w:val="0"/>
        <w:bidi w:val="0"/>
        <w:snapToGrid/>
        <w:spacing w:line="560" w:lineRule="exact"/>
        <w:ind w:firstLine="3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十</w:t>
      </w:r>
      <w:r>
        <w:rPr>
          <w:rFonts w:hint="default" w:ascii="Times New Roman" w:hAnsi="Times New Roman" w:eastAsia="仿宋_GB2312" w:cs="Times New Roman"/>
          <w:color w:val="auto"/>
          <w:sz w:val="30"/>
          <w:szCs w:val="30"/>
          <w:highlight w:val="none"/>
        </w:rPr>
        <w:t>）关于信息披露与投资者关系管理</w:t>
      </w:r>
    </w:p>
    <w:p>
      <w:pPr>
        <w:keepNext w:val="0"/>
        <w:keepLines w:val="0"/>
        <w:pageBreakBefore w:val="0"/>
        <w:kinsoku/>
        <w:wordWrap/>
        <w:overflowPunct/>
        <w:topLinePunct w:val="0"/>
        <w:bidi w:val="0"/>
        <w:snapToGrid/>
        <w:spacing w:line="560" w:lineRule="exact"/>
        <w:ind w:firstLine="357"/>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kern w:val="0"/>
          <w:sz w:val="30"/>
          <w:szCs w:val="30"/>
          <w:highlight w:val="none"/>
        </w:rPr>
        <w:t xml:space="preserve"> 报告期内，公司董事会按照银行业监督管理机构对商业银行信息披露的有关要求，编制了《202</w:t>
      </w:r>
      <w:r>
        <w:rPr>
          <w:rFonts w:hint="default" w:ascii="Times New Roman" w:hAnsi="Times New Roman" w:eastAsia="仿宋_GB2312" w:cs="Times New Roman"/>
          <w:color w:val="auto"/>
          <w:kern w:val="0"/>
          <w:sz w:val="30"/>
          <w:szCs w:val="30"/>
          <w:highlight w:val="none"/>
          <w:lang w:val="en-US" w:eastAsia="zh-CN"/>
        </w:rPr>
        <w:t>4</w:t>
      </w:r>
      <w:r>
        <w:rPr>
          <w:rFonts w:hint="default" w:ascii="Times New Roman" w:hAnsi="Times New Roman" w:eastAsia="仿宋_GB2312" w:cs="Times New Roman"/>
          <w:color w:val="auto"/>
          <w:kern w:val="0"/>
          <w:sz w:val="30"/>
          <w:szCs w:val="30"/>
          <w:highlight w:val="none"/>
        </w:rPr>
        <w:t>年度</w:t>
      </w:r>
      <w:r>
        <w:rPr>
          <w:rFonts w:hint="default" w:ascii="Times New Roman" w:hAnsi="Times New Roman" w:eastAsia="仿宋_GB2312" w:cs="Times New Roman"/>
          <w:color w:val="auto"/>
          <w:kern w:val="0"/>
          <w:sz w:val="30"/>
          <w:szCs w:val="30"/>
          <w:highlight w:val="none"/>
          <w:lang w:val="en-US" w:eastAsia="zh-CN"/>
        </w:rPr>
        <w:t>信息披露</w:t>
      </w:r>
      <w:r>
        <w:rPr>
          <w:rFonts w:hint="default" w:ascii="Times New Roman" w:hAnsi="Times New Roman" w:eastAsia="仿宋_GB2312" w:cs="Times New Roman"/>
          <w:color w:val="auto"/>
          <w:kern w:val="0"/>
          <w:sz w:val="30"/>
          <w:szCs w:val="30"/>
          <w:highlight w:val="none"/>
        </w:rPr>
        <w:t>报告》及摘要，</w:t>
      </w:r>
      <w:r>
        <w:rPr>
          <w:rFonts w:hint="default" w:ascii="Times New Roman" w:hAnsi="Times New Roman" w:eastAsia="仿宋_GB2312" w:cs="Times New Roman"/>
          <w:color w:val="auto"/>
          <w:kern w:val="0"/>
          <w:sz w:val="30"/>
          <w:szCs w:val="30"/>
          <w:highlight w:val="none"/>
          <w:lang w:val="en-US" w:eastAsia="zh-CN"/>
        </w:rPr>
        <w:t>将</w:t>
      </w:r>
      <w:r>
        <w:rPr>
          <w:rFonts w:hint="default" w:ascii="Times New Roman" w:hAnsi="Times New Roman" w:eastAsia="仿宋_GB2312" w:cs="Times New Roman"/>
          <w:color w:val="auto"/>
          <w:kern w:val="0"/>
          <w:sz w:val="30"/>
          <w:szCs w:val="30"/>
          <w:highlight w:val="none"/>
        </w:rPr>
        <w:t>于202</w:t>
      </w:r>
      <w:r>
        <w:rPr>
          <w:rFonts w:hint="default" w:ascii="Times New Roman" w:hAnsi="Times New Roman" w:eastAsia="仿宋_GB2312" w:cs="Times New Roman"/>
          <w:color w:val="auto"/>
          <w:kern w:val="0"/>
          <w:sz w:val="30"/>
          <w:szCs w:val="30"/>
          <w:highlight w:val="none"/>
          <w:lang w:val="en-US" w:eastAsia="zh-CN"/>
        </w:rPr>
        <w:t>5</w:t>
      </w:r>
      <w:r>
        <w:rPr>
          <w:rFonts w:hint="default" w:ascii="Times New Roman" w:hAnsi="Times New Roman" w:eastAsia="仿宋_GB2312" w:cs="Times New Roman"/>
          <w:color w:val="auto"/>
          <w:kern w:val="0"/>
          <w:sz w:val="30"/>
          <w:szCs w:val="30"/>
          <w:highlight w:val="none"/>
        </w:rPr>
        <w:t>年</w:t>
      </w:r>
      <w:r>
        <w:rPr>
          <w:rFonts w:hint="default" w:ascii="Times New Roman" w:hAnsi="Times New Roman" w:eastAsia="仿宋_GB2312" w:cs="Times New Roman"/>
          <w:color w:val="auto"/>
          <w:kern w:val="0"/>
          <w:sz w:val="30"/>
          <w:szCs w:val="30"/>
          <w:highlight w:val="none"/>
          <w:lang w:val="en-US" w:eastAsia="zh-CN"/>
        </w:rPr>
        <w:t>4</w:t>
      </w:r>
      <w:r>
        <w:rPr>
          <w:rFonts w:hint="default" w:ascii="Times New Roman" w:hAnsi="Times New Roman" w:eastAsia="仿宋_GB2312" w:cs="Times New Roman"/>
          <w:color w:val="auto"/>
          <w:kern w:val="0"/>
          <w:sz w:val="30"/>
          <w:szCs w:val="30"/>
          <w:highlight w:val="none"/>
        </w:rPr>
        <w:t>月</w:t>
      </w:r>
      <w:r>
        <w:rPr>
          <w:rFonts w:hint="default" w:ascii="Times New Roman" w:hAnsi="Times New Roman" w:eastAsia="仿宋_GB2312" w:cs="Times New Roman"/>
          <w:color w:val="auto"/>
          <w:kern w:val="0"/>
          <w:sz w:val="30"/>
          <w:szCs w:val="30"/>
          <w:highlight w:val="none"/>
          <w:lang w:val="en-US" w:eastAsia="zh-CN"/>
        </w:rPr>
        <w:t>会在</w:t>
      </w:r>
      <w:r>
        <w:rPr>
          <w:rFonts w:hint="default" w:ascii="Times New Roman" w:hAnsi="Times New Roman" w:eastAsia="仿宋_GB2312" w:cs="Times New Roman"/>
          <w:color w:val="auto"/>
          <w:kern w:val="0"/>
          <w:sz w:val="30"/>
          <w:szCs w:val="30"/>
          <w:highlight w:val="none"/>
        </w:rPr>
        <w:t>公司门户网站上予以发布。同时在董事会办公室备置，供投资者及利益相关人查阅，做到了信息披露的准确、真实和完整，确保股东有机会获得信息。</w:t>
      </w:r>
    </w:p>
    <w:p>
      <w:pPr>
        <w:keepNext w:val="0"/>
        <w:keepLines w:val="0"/>
        <w:pageBreakBefore w:val="0"/>
        <w:kinsoku/>
        <w:wordWrap/>
        <w:overflowPunct/>
        <w:topLinePunct w:val="0"/>
        <w:bidi w:val="0"/>
        <w:snapToGrid/>
        <w:spacing w:line="560" w:lineRule="exact"/>
        <w:ind w:firstLine="357"/>
        <w:rPr>
          <w:rFonts w:hint="default" w:ascii="Times New Roman" w:hAnsi="Times New Roman" w:eastAsia="仿宋_GB2312" w:cs="Times New Roman"/>
          <w:b/>
          <w:color w:val="auto"/>
          <w:kern w:val="0"/>
          <w:sz w:val="30"/>
          <w:szCs w:val="30"/>
          <w:highlight w:val="none"/>
        </w:rPr>
      </w:pPr>
      <w:r>
        <w:rPr>
          <w:rFonts w:hint="default" w:ascii="Times New Roman" w:hAnsi="Times New Roman" w:eastAsia="仿宋_GB2312" w:cs="Times New Roman"/>
          <w:color w:val="auto"/>
          <w:kern w:val="0"/>
          <w:sz w:val="30"/>
          <w:szCs w:val="30"/>
          <w:highlight w:val="none"/>
        </w:rPr>
        <w:t xml:space="preserve"> 在投资者关系管理上，本公司一直致力于搭建良好的投资者交流沟通平台，增强与投资者交流互动的质量。报告期内，本公司通过门户网站、报刊等媒介主动向投资者展示良好的形象，进一步增进投资者对公司的了解。同时，本公司还及时、全面地向投资者披露公司财务、年度报告等信息，并通过接待来访、电话专线、电子邮箱、传真和书面信件等方式积极服务股东，及时解答股东关心的问题。</w:t>
      </w:r>
    </w:p>
    <w:p>
      <w:pPr>
        <w:keepNext w:val="0"/>
        <w:keepLines w:val="0"/>
        <w:pageBreakBefore w:val="0"/>
        <w:kinsoku/>
        <w:wordWrap/>
        <w:overflowPunct/>
        <w:topLinePunct w:val="0"/>
        <w:autoSpaceDE w:val="0"/>
        <w:autoSpaceDN w:val="0"/>
        <w:bidi w:val="0"/>
        <w:adjustRightInd w:val="0"/>
        <w:snapToGrid/>
        <w:spacing w:line="560" w:lineRule="exact"/>
        <w:ind w:firstLine="602" w:firstLineChars="200"/>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b/>
          <w:color w:val="auto"/>
          <w:kern w:val="0"/>
          <w:sz w:val="30"/>
          <w:szCs w:val="30"/>
          <w:highlight w:val="none"/>
        </w:rPr>
        <w:t xml:space="preserve">7.2 </w:t>
      </w:r>
      <w:r>
        <w:rPr>
          <w:rFonts w:hint="default" w:ascii="Times New Roman" w:hAnsi="Times New Roman" w:eastAsia="仿宋_GB2312" w:cs="Times New Roman"/>
          <w:color w:val="auto"/>
          <w:kern w:val="0"/>
          <w:sz w:val="30"/>
          <w:szCs w:val="30"/>
          <w:highlight w:val="none"/>
        </w:rPr>
        <w:t xml:space="preserve"> </w:t>
      </w:r>
      <w:r>
        <w:rPr>
          <w:rFonts w:hint="default" w:ascii="Times New Roman" w:hAnsi="Times New Roman" w:eastAsia="仿宋_GB2312" w:cs="Times New Roman"/>
          <w:b/>
          <w:color w:val="auto"/>
          <w:sz w:val="30"/>
          <w:szCs w:val="30"/>
          <w:highlight w:val="none"/>
        </w:rPr>
        <w:t>经营决策体系</w:t>
      </w:r>
    </w:p>
    <w:p>
      <w:pPr>
        <w:keepNext w:val="0"/>
        <w:keepLines w:val="0"/>
        <w:pageBreakBefore w:val="0"/>
        <w:kinsoku/>
        <w:wordWrap/>
        <w:overflowPunct/>
        <w:topLinePunct w:val="0"/>
        <w:bidi w:val="0"/>
        <w:snapToGrid/>
        <w:spacing w:line="560" w:lineRule="exact"/>
        <w:ind w:firstLine="588" w:firstLineChars="196"/>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color w:val="auto"/>
          <w:sz w:val="30"/>
          <w:szCs w:val="30"/>
          <w:highlight w:val="none"/>
          <w:lang w:val="en-US" w:eastAsia="zh-CN"/>
        </w:rPr>
        <w:t>我行只有一个股东为我行发起行浙江稠州商业银行</w:t>
      </w:r>
      <w:r>
        <w:rPr>
          <w:rFonts w:hint="default" w:ascii="Times New Roman" w:hAnsi="Times New Roman" w:eastAsia="仿宋_GB2312" w:cs="Times New Roman"/>
          <w:color w:val="auto"/>
          <w:sz w:val="30"/>
          <w:szCs w:val="30"/>
          <w:highlight w:val="none"/>
        </w:rPr>
        <w:t>，董事会是股东</w:t>
      </w:r>
      <w:r>
        <w:rPr>
          <w:rFonts w:hint="default" w:ascii="Times New Roman" w:hAnsi="Times New Roman" w:eastAsia="仿宋_GB2312" w:cs="Times New Roman"/>
          <w:color w:val="auto"/>
          <w:sz w:val="30"/>
          <w:szCs w:val="30"/>
          <w:highlight w:val="none"/>
          <w:lang w:val="en-US" w:eastAsia="zh-CN"/>
        </w:rPr>
        <w:t>决定</w:t>
      </w:r>
      <w:r>
        <w:rPr>
          <w:rFonts w:hint="default" w:ascii="Times New Roman" w:hAnsi="Times New Roman" w:eastAsia="仿宋_GB2312" w:cs="Times New Roman"/>
          <w:color w:val="auto"/>
          <w:sz w:val="30"/>
          <w:szCs w:val="30"/>
          <w:highlight w:val="none"/>
        </w:rPr>
        <w:t>的执行机构，对股东负责，监事会行使监督职能。行长受聘于董事会，对本公司日</w:t>
      </w:r>
      <w:r>
        <w:rPr>
          <w:rFonts w:hint="default" w:ascii="Times New Roman" w:hAnsi="Times New Roman" w:eastAsia="仿宋_GB2312" w:cs="Times New Roman"/>
          <w:sz w:val="30"/>
          <w:szCs w:val="30"/>
          <w:highlight w:val="none"/>
        </w:rPr>
        <w:t>常经营管理全面负责。本公司实行一级法人体制，各机构经营管理活动根据总行授权进行，并对总行负责。</w:t>
      </w:r>
    </w:p>
    <w:p>
      <w:pPr>
        <w:keepNext w:val="0"/>
        <w:keepLines w:val="0"/>
        <w:pageBreakBefore w:val="0"/>
        <w:kinsoku/>
        <w:wordWrap/>
        <w:overflowPunct/>
        <w:topLinePunct w:val="0"/>
        <w:bidi w:val="0"/>
        <w:snapToGrid/>
        <w:spacing w:line="560" w:lineRule="exact"/>
        <w:ind w:firstLine="590" w:firstLineChars="196"/>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7.3 与控股股东“五分开”情况</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公司与大股东在业务、人员、资产、机构、财务五方面完全独立。公司为自主经营、自负盈亏的独立法人，具有独立、完整的业务及自主经营能力。</w:t>
      </w:r>
    </w:p>
    <w:p>
      <w:pPr>
        <w:keepNext w:val="0"/>
        <w:keepLines w:val="0"/>
        <w:pageBreakBefore w:val="0"/>
        <w:kinsoku/>
        <w:wordWrap/>
        <w:overflowPunct/>
        <w:topLinePunct w:val="0"/>
        <w:bidi w:val="0"/>
        <w:snapToGrid/>
        <w:spacing w:line="560" w:lineRule="exact"/>
        <w:ind w:firstLine="602"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8</w:t>
      </w:r>
      <w:r>
        <w:rPr>
          <w:rFonts w:hint="default" w:ascii="Times New Roman" w:hAnsi="Times New Roman" w:eastAsia="仿宋_GB2312" w:cs="Times New Roman"/>
          <w:b/>
          <w:sz w:val="30"/>
          <w:szCs w:val="30"/>
          <w:highlight w:val="none"/>
          <w:lang w:eastAsia="zh-CN"/>
        </w:rPr>
        <w:t>、</w:t>
      </w:r>
      <w:r>
        <w:rPr>
          <w:rFonts w:hint="default" w:ascii="Times New Roman" w:hAnsi="Times New Roman" w:eastAsia="仿宋_GB2312" w:cs="Times New Roman"/>
          <w:b/>
          <w:sz w:val="30"/>
          <w:szCs w:val="30"/>
          <w:highlight w:val="none"/>
        </w:rPr>
        <w:t>公司风险管理状况</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sz w:val="30"/>
          <w:szCs w:val="30"/>
          <w:highlight w:val="none"/>
          <w:shd w:val="clear" w:color="auto" w:fill="FFFFFF"/>
        </w:rPr>
        <w:t>报告期内，本行深化全面风险管理文化建设，明确风险管理战略与风险偏好，完善政策制度，健全组织架构，创新管理工具，强化风险绩效考核，加强队伍建设，建立了适应本行战略发展需要的全面风险管理体系</w:t>
      </w:r>
      <w:r>
        <w:rPr>
          <w:rFonts w:hint="default" w:ascii="Times New Roman" w:hAnsi="Times New Roman" w:eastAsia="仿宋_GB2312" w:cs="Times New Roman"/>
          <w:sz w:val="30"/>
          <w:szCs w:val="30"/>
          <w:highlight w:val="none"/>
        </w:rPr>
        <w:t>，促进了各项业务的稳健发展。</w:t>
      </w:r>
    </w:p>
    <w:p>
      <w:pPr>
        <w:keepNext w:val="0"/>
        <w:keepLines w:val="0"/>
        <w:pageBreakBefore w:val="0"/>
        <w:kinsoku/>
        <w:wordWrap/>
        <w:overflowPunct/>
        <w:topLinePunct w:val="0"/>
        <w:bidi w:val="0"/>
        <w:snapToGrid/>
        <w:spacing w:line="560" w:lineRule="exact"/>
        <w:ind w:firstLine="602"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8.1  信用风险</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行所面临的信用风险是指交易对方无法在到期日履行合同义务的风险。信用风险是本行在经营活动中所面临的最重要的风险，管理层对信用风险敞口采取审慎的原则进行管理。本行的信用风险主要来源于贷款和资金业务。目前本行由信贷评审委员会对信用风险防范进行决策和统筹协调，采取专业化授信评审、集中质量监控、问题资产集中</w:t>
      </w:r>
      <w:r>
        <w:rPr>
          <w:rFonts w:hint="default" w:ascii="Times New Roman" w:hAnsi="Times New Roman" w:eastAsia="仿宋_GB2312" w:cs="Times New Roman"/>
          <w:color w:val="auto"/>
          <w:sz w:val="30"/>
          <w:szCs w:val="30"/>
          <w:highlight w:val="none"/>
          <w:lang w:val="en-US" w:eastAsia="zh-CN"/>
        </w:rPr>
        <w:t>处置</w:t>
      </w:r>
      <w:r>
        <w:rPr>
          <w:rFonts w:hint="default" w:ascii="Times New Roman" w:hAnsi="Times New Roman" w:eastAsia="仿宋_GB2312" w:cs="Times New Roman"/>
          <w:color w:val="auto"/>
          <w:sz w:val="30"/>
          <w:szCs w:val="30"/>
          <w:highlight w:val="none"/>
        </w:rPr>
        <w:t>和清收等主要手段进行信用风险管理。</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sz w:val="30"/>
          <w:szCs w:val="30"/>
          <w:highlight w:val="none"/>
          <w:shd w:val="clear" w:color="auto" w:fill="FFFFFF"/>
          <w:lang w:val="en-US" w:eastAsia="zh-CN"/>
        </w:rPr>
        <w:t xml:space="preserve"> </w:t>
      </w:r>
      <w:r>
        <w:rPr>
          <w:rFonts w:hint="default" w:ascii="Times New Roman" w:hAnsi="Times New Roman" w:eastAsia="仿宋_GB2312" w:cs="Times New Roman"/>
          <w:sz w:val="30"/>
          <w:szCs w:val="30"/>
          <w:highlight w:val="none"/>
          <w:shd w:val="clear" w:color="auto" w:fill="FFFFFF"/>
        </w:rPr>
        <w:t>报告期内，我行信用风险较去年大幅增加，截至202</w:t>
      </w:r>
      <w:r>
        <w:rPr>
          <w:rFonts w:hint="default" w:ascii="Times New Roman" w:hAnsi="Times New Roman" w:eastAsia="仿宋_GB2312" w:cs="Times New Roman"/>
          <w:sz w:val="30"/>
          <w:szCs w:val="30"/>
          <w:highlight w:val="none"/>
          <w:shd w:val="clear" w:color="auto" w:fill="FFFFFF"/>
          <w:lang w:val="en-US"/>
        </w:rPr>
        <w:t>4</w:t>
      </w:r>
      <w:r>
        <w:rPr>
          <w:rFonts w:hint="default" w:ascii="Times New Roman" w:hAnsi="Times New Roman" w:eastAsia="仿宋_GB2312" w:cs="Times New Roman"/>
          <w:sz w:val="30"/>
          <w:szCs w:val="30"/>
          <w:highlight w:val="none"/>
          <w:shd w:val="clear" w:color="auto" w:fill="FFFFFF"/>
        </w:rPr>
        <w:t>年12月31日,我行各项贷款余额</w:t>
      </w:r>
      <w:r>
        <w:rPr>
          <w:rFonts w:hint="default" w:ascii="Times New Roman" w:hAnsi="Times New Roman" w:eastAsia="仿宋_GB2312" w:cs="Times New Roman"/>
          <w:sz w:val="30"/>
          <w:szCs w:val="30"/>
          <w:highlight w:val="none"/>
          <w:shd w:val="clear" w:color="auto" w:fill="FFFFFF"/>
          <w:lang w:val="en-US"/>
        </w:rPr>
        <w:t>60443.95</w:t>
      </w:r>
      <w:r>
        <w:rPr>
          <w:rFonts w:hint="default" w:ascii="Times New Roman" w:hAnsi="Times New Roman" w:eastAsia="仿宋_GB2312" w:cs="Times New Roman"/>
          <w:sz w:val="30"/>
          <w:szCs w:val="30"/>
          <w:highlight w:val="none"/>
          <w:shd w:val="clear" w:color="auto" w:fill="FFFFFF"/>
        </w:rPr>
        <w:t>万元，较年初</w:t>
      </w:r>
      <w:r>
        <w:rPr>
          <w:rFonts w:hint="default" w:ascii="Times New Roman" w:hAnsi="Times New Roman" w:eastAsia="仿宋_GB2312" w:cs="Times New Roman"/>
          <w:sz w:val="30"/>
          <w:szCs w:val="30"/>
          <w:highlight w:val="none"/>
          <w:shd w:val="clear" w:color="auto" w:fill="FFFFFF"/>
          <w:lang w:val="en-US" w:eastAsia="zh-CN"/>
        </w:rPr>
        <w:t>增加8647.12</w:t>
      </w:r>
      <w:r>
        <w:rPr>
          <w:rFonts w:hint="default" w:ascii="Times New Roman" w:hAnsi="Times New Roman" w:eastAsia="仿宋_GB2312" w:cs="Times New Roman"/>
          <w:sz w:val="30"/>
          <w:szCs w:val="30"/>
          <w:highlight w:val="none"/>
          <w:shd w:val="clear" w:color="auto" w:fill="FFFFFF"/>
        </w:rPr>
        <w:t>万元，</w:t>
      </w:r>
      <w:r>
        <w:rPr>
          <w:rFonts w:hint="default" w:ascii="Times New Roman" w:hAnsi="Times New Roman" w:eastAsia="仿宋_GB2312" w:cs="Times New Roman"/>
          <w:sz w:val="30"/>
          <w:szCs w:val="30"/>
          <w:highlight w:val="none"/>
          <w:shd w:val="clear" w:color="auto" w:fill="FFFFFF"/>
          <w:lang w:val="en-US" w:eastAsia="zh-CN"/>
        </w:rPr>
        <w:t>增</w:t>
      </w:r>
      <w:r>
        <w:rPr>
          <w:rFonts w:hint="default" w:ascii="Times New Roman" w:hAnsi="Times New Roman" w:eastAsia="仿宋_GB2312" w:cs="Times New Roman"/>
          <w:sz w:val="30"/>
          <w:szCs w:val="30"/>
          <w:highlight w:val="none"/>
          <w:shd w:val="clear" w:color="auto" w:fill="FFFFFF"/>
        </w:rPr>
        <w:t>幅</w:t>
      </w:r>
      <w:r>
        <w:rPr>
          <w:rFonts w:hint="default" w:ascii="Times New Roman" w:hAnsi="Times New Roman" w:eastAsia="仿宋_GB2312" w:cs="Times New Roman"/>
          <w:sz w:val="30"/>
          <w:szCs w:val="30"/>
          <w:highlight w:val="none"/>
          <w:shd w:val="clear" w:color="auto" w:fill="FFFFFF"/>
          <w:lang w:val="en-US" w:eastAsia="zh-CN"/>
        </w:rPr>
        <w:t>16.69</w:t>
      </w:r>
      <w:r>
        <w:rPr>
          <w:rFonts w:hint="default" w:ascii="Times New Roman" w:hAnsi="Times New Roman" w:eastAsia="仿宋_GB2312" w:cs="Times New Roman"/>
          <w:sz w:val="30"/>
          <w:szCs w:val="30"/>
          <w:highlight w:val="none"/>
          <w:shd w:val="clear" w:color="auto" w:fill="FFFFFF"/>
        </w:rPr>
        <w:t>%，其中：不良贷款余额</w:t>
      </w:r>
      <w:r>
        <w:rPr>
          <w:rFonts w:hint="default" w:ascii="Times New Roman" w:hAnsi="Times New Roman" w:eastAsia="仿宋_GB2312" w:cs="Times New Roman"/>
          <w:sz w:val="30"/>
          <w:szCs w:val="30"/>
          <w:highlight w:val="none"/>
          <w:shd w:val="clear" w:color="auto" w:fill="FFFFFF"/>
          <w:lang w:val="en-US" w:eastAsia="zh-CN"/>
        </w:rPr>
        <w:t>1573.74</w:t>
      </w:r>
      <w:r>
        <w:rPr>
          <w:rFonts w:hint="default" w:ascii="Times New Roman" w:hAnsi="Times New Roman" w:eastAsia="仿宋_GB2312" w:cs="Times New Roman"/>
          <w:sz w:val="30"/>
          <w:szCs w:val="30"/>
          <w:highlight w:val="none"/>
          <w:shd w:val="clear" w:color="auto" w:fill="FFFFFF"/>
        </w:rPr>
        <w:t>万元，较年初增加</w:t>
      </w:r>
      <w:r>
        <w:rPr>
          <w:rFonts w:hint="default" w:ascii="Times New Roman" w:hAnsi="Times New Roman" w:eastAsia="仿宋_GB2312" w:cs="Times New Roman"/>
          <w:sz w:val="30"/>
          <w:szCs w:val="30"/>
          <w:highlight w:val="none"/>
          <w:shd w:val="clear" w:color="auto" w:fill="FFFFFF"/>
          <w:lang w:val="en-US" w:eastAsia="zh-CN"/>
        </w:rPr>
        <w:t>181.96</w:t>
      </w:r>
      <w:r>
        <w:rPr>
          <w:rFonts w:hint="default" w:ascii="Times New Roman" w:hAnsi="Times New Roman" w:eastAsia="仿宋_GB2312" w:cs="Times New Roman"/>
          <w:sz w:val="30"/>
          <w:szCs w:val="30"/>
          <w:highlight w:val="none"/>
          <w:shd w:val="clear" w:color="auto" w:fill="FFFFFF"/>
        </w:rPr>
        <w:t>万元，贷款不良率</w:t>
      </w:r>
      <w:r>
        <w:rPr>
          <w:rFonts w:hint="default" w:ascii="Times New Roman" w:hAnsi="Times New Roman" w:eastAsia="仿宋_GB2312" w:cs="Times New Roman"/>
          <w:sz w:val="30"/>
          <w:szCs w:val="30"/>
          <w:highlight w:val="none"/>
          <w:shd w:val="clear" w:color="auto" w:fill="FFFFFF"/>
          <w:lang w:val="en-US" w:eastAsia="zh-CN"/>
        </w:rPr>
        <w:t>2.60</w:t>
      </w:r>
      <w:r>
        <w:rPr>
          <w:rFonts w:hint="default" w:ascii="Times New Roman" w:hAnsi="Times New Roman" w:eastAsia="仿宋_GB2312" w:cs="Times New Roman"/>
          <w:sz w:val="30"/>
          <w:szCs w:val="30"/>
          <w:highlight w:val="none"/>
          <w:shd w:val="clear" w:color="auto" w:fill="FFFFFF"/>
        </w:rPr>
        <w:t>%，较年初</w:t>
      </w:r>
      <w:r>
        <w:rPr>
          <w:rFonts w:hint="default" w:ascii="Times New Roman" w:hAnsi="Times New Roman" w:eastAsia="仿宋_GB2312" w:cs="Times New Roman"/>
          <w:sz w:val="30"/>
          <w:szCs w:val="30"/>
          <w:highlight w:val="none"/>
          <w:shd w:val="clear" w:color="auto" w:fill="FFFFFF"/>
          <w:lang w:val="en-US" w:eastAsia="zh-CN"/>
        </w:rPr>
        <w:t>减少0.09</w:t>
      </w:r>
      <w:r>
        <w:rPr>
          <w:rFonts w:hint="default" w:ascii="Times New Roman" w:hAnsi="Times New Roman" w:eastAsia="仿宋_GB2312" w:cs="Times New Roman"/>
          <w:sz w:val="30"/>
          <w:szCs w:val="30"/>
          <w:highlight w:val="none"/>
          <w:shd w:val="clear" w:color="auto" w:fill="FFFFFF"/>
        </w:rPr>
        <w:t>个百分点，现有不良拨备金额</w:t>
      </w:r>
      <w:r>
        <w:rPr>
          <w:rFonts w:hint="default" w:ascii="Times New Roman" w:hAnsi="Times New Roman" w:eastAsia="仿宋_GB2312" w:cs="Times New Roman"/>
          <w:sz w:val="30"/>
          <w:szCs w:val="30"/>
          <w:highlight w:val="none"/>
          <w:shd w:val="clear" w:color="auto" w:fill="FFFFFF"/>
          <w:lang w:val="en-US" w:eastAsia="zh-CN"/>
        </w:rPr>
        <w:t>2442.69</w:t>
      </w:r>
      <w:r>
        <w:rPr>
          <w:rFonts w:hint="default" w:ascii="Times New Roman" w:hAnsi="Times New Roman" w:eastAsia="仿宋_GB2312" w:cs="Times New Roman"/>
          <w:sz w:val="30"/>
          <w:szCs w:val="30"/>
          <w:highlight w:val="none"/>
          <w:shd w:val="clear" w:color="auto" w:fill="FFFFFF"/>
        </w:rPr>
        <w:t>万元，拨备覆盖率</w:t>
      </w:r>
      <w:r>
        <w:rPr>
          <w:rFonts w:hint="default" w:ascii="Times New Roman" w:hAnsi="Times New Roman" w:eastAsia="仿宋_GB2312" w:cs="Times New Roman"/>
          <w:sz w:val="30"/>
          <w:szCs w:val="30"/>
          <w:highlight w:val="none"/>
          <w:shd w:val="clear" w:color="auto" w:fill="FFFFFF"/>
          <w:lang w:val="en-US" w:eastAsia="zh-CN"/>
        </w:rPr>
        <w:t>155.22</w:t>
      </w:r>
      <w:r>
        <w:rPr>
          <w:rFonts w:hint="default" w:ascii="Times New Roman" w:hAnsi="Times New Roman" w:eastAsia="仿宋_GB2312" w:cs="Times New Roman"/>
          <w:sz w:val="30"/>
          <w:szCs w:val="30"/>
          <w:highlight w:val="none"/>
          <w:shd w:val="clear" w:color="auto" w:fill="FFFFFF"/>
        </w:rPr>
        <w:t>%。</w:t>
      </w:r>
    </w:p>
    <w:p>
      <w:pPr>
        <w:keepNext w:val="0"/>
        <w:keepLines w:val="0"/>
        <w:pageBreakBefore w:val="0"/>
        <w:kinsoku/>
        <w:wordWrap/>
        <w:overflowPunct/>
        <w:topLinePunct w:val="0"/>
        <w:bidi w:val="0"/>
        <w:snapToGrid/>
        <w:spacing w:line="56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sz w:val="30"/>
          <w:szCs w:val="30"/>
          <w:highlight w:val="none"/>
        </w:rPr>
        <w:t>8.2  市场风险</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市场风险是指市场状况变化对未来收益、公允价值、未来现金流造成的潜在损失。市场风险是由于市场的一般或特定变化对利率、货币和衍生金融工具交易敞口头寸造成影响而产生。市场风险可能影响所有市场风险敏感性金融产品，包括贷款、存款、拆放、证券以及衍生金融工具。</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sz w:val="30"/>
          <w:szCs w:val="30"/>
          <w:highlight w:val="none"/>
        </w:rPr>
        <w:t>本行的业务分为交易账户和银行账户。交易账户包括由以交易为目的持有及为规避交易账户市场风险而持有的可以自由交易的金融工具和商品头寸。交易账户旨在从短期价格波动中赢利。风险管理部针对交易账户和投资类银行账户履行识别、计量和监测风险的职能。银行账户指交易账户之外的资产和负债。</w:t>
      </w:r>
      <w:r>
        <w:rPr>
          <w:rFonts w:hint="default" w:ascii="Times New Roman" w:hAnsi="Times New Roman" w:eastAsia="仿宋_GB2312" w:cs="Times New Roman"/>
          <w:sz w:val="30"/>
          <w:szCs w:val="30"/>
          <w:highlight w:val="none"/>
          <w:lang w:val="en-US" w:eastAsia="zh-CN"/>
        </w:rPr>
        <w:t>运营管理部</w:t>
      </w:r>
      <w:r>
        <w:rPr>
          <w:rFonts w:hint="default" w:ascii="Times New Roman" w:hAnsi="Times New Roman" w:eastAsia="仿宋_GB2312" w:cs="Times New Roman"/>
          <w:sz w:val="30"/>
          <w:szCs w:val="30"/>
          <w:highlight w:val="none"/>
        </w:rPr>
        <w:t>针对银行帐户利率风险履行识别、计量和监测风险的职能。</w:t>
      </w:r>
    </w:p>
    <w:p>
      <w:pPr>
        <w:keepNext w:val="0"/>
        <w:keepLines w:val="0"/>
        <w:pageBreakBefore w:val="0"/>
        <w:kinsoku/>
        <w:wordWrap/>
        <w:overflowPunct/>
        <w:topLinePunct w:val="0"/>
        <w:bidi w:val="0"/>
        <w:snapToGrid/>
        <w:spacing w:line="560" w:lineRule="exact"/>
        <w:ind w:firstLine="590" w:firstLineChars="196"/>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8.3  流动性风险</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流动性风险是指资产负债现金流错配而不能完全履行支付义务的风险。本行面临各类日常现金提款的要求，其中包括通知存款、活期存款、到期的定期存款、客户贷款提款、担保</w:t>
      </w:r>
      <w:r>
        <w:rPr>
          <w:rFonts w:hint="default" w:ascii="Times New Roman" w:hAnsi="Times New Roman" w:eastAsia="仿宋_GB2312" w:cs="Times New Roman"/>
          <w:sz w:val="30"/>
          <w:szCs w:val="30"/>
          <w:highlight w:val="none"/>
          <w:lang w:eastAsia="zh-CN"/>
        </w:rPr>
        <w:t>等</w:t>
      </w:r>
      <w:r>
        <w:rPr>
          <w:rFonts w:hint="default" w:ascii="Times New Roman" w:hAnsi="Times New Roman" w:eastAsia="仿宋_GB2312" w:cs="Times New Roman"/>
          <w:sz w:val="30"/>
          <w:szCs w:val="30"/>
          <w:highlight w:val="none"/>
        </w:rPr>
        <w:t>付款要求。根据历史经验，相当一部分到期的存款并不会在到期日立即提走，而是续留本行，但同时为确保应对不可预料的资金需求，本行规定了最低的资金存量标准。</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color w:val="auto"/>
          <w:sz w:val="30"/>
          <w:szCs w:val="30"/>
          <w:highlight w:val="none"/>
        </w:rPr>
        <w:t>20</w:t>
      </w:r>
      <w:r>
        <w:rPr>
          <w:rFonts w:hint="default" w:ascii="Times New Roman" w:hAnsi="Times New Roman" w:eastAsia="仿宋_GB2312" w:cs="Times New Roman"/>
          <w:color w:val="auto"/>
          <w:sz w:val="30"/>
          <w:szCs w:val="30"/>
          <w:highlight w:val="none"/>
          <w:lang w:val="en-US"/>
        </w:rPr>
        <w:t>2</w:t>
      </w:r>
      <w:r>
        <w:rPr>
          <w:rFonts w:hint="default"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年度，本行开展了流动性风险压力测试及评估工作，定量评估利率市场化对流动性风险管理的具体影</w:t>
      </w:r>
      <w:r>
        <w:rPr>
          <w:rFonts w:hint="default" w:ascii="Times New Roman" w:hAnsi="Times New Roman" w:eastAsia="仿宋_GB2312" w:cs="Times New Roman"/>
          <w:sz w:val="30"/>
          <w:szCs w:val="30"/>
          <w:highlight w:val="none"/>
        </w:rPr>
        <w:t>响；同时，本行还积极采取各项措施，保持存款稳定增长，避免出现持续流失；加强资金头寸管理，合理配置同业业务与投资期限结构，正确把握好资金流动性与盈利性之间的关系。</w:t>
      </w:r>
    </w:p>
    <w:p>
      <w:pPr>
        <w:keepNext w:val="0"/>
        <w:keepLines w:val="0"/>
        <w:pageBreakBefore w:val="0"/>
        <w:kinsoku/>
        <w:wordWrap/>
        <w:overflowPunct/>
        <w:topLinePunct w:val="0"/>
        <w:bidi w:val="0"/>
        <w:snapToGrid/>
        <w:spacing w:line="56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sz w:val="30"/>
          <w:szCs w:val="30"/>
          <w:highlight w:val="none"/>
        </w:rPr>
        <w:t>8.4  操作风险</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sz w:val="30"/>
          <w:szCs w:val="30"/>
          <w:highlight w:val="none"/>
        </w:rPr>
        <w:t>操作风险是指由于不完善或有问题的内部操作过程、人员、系统或外部事件而导致的直接或间接损失的风险。本行已</w:t>
      </w:r>
      <w:r>
        <w:rPr>
          <w:rFonts w:hint="default" w:ascii="Times New Roman" w:hAnsi="Times New Roman" w:eastAsia="仿宋_GB2312" w:cs="Times New Roman"/>
          <w:color w:val="auto"/>
          <w:sz w:val="30"/>
          <w:szCs w:val="30"/>
          <w:highlight w:val="none"/>
        </w:rPr>
        <w:t>建立了适当的政策和程序去降低日常经营中可能发生的风险。</w:t>
      </w:r>
      <w:r>
        <w:rPr>
          <w:rFonts w:hint="default" w:ascii="Times New Roman" w:hAnsi="Times New Roman" w:eastAsia="仿宋_GB2312" w:cs="Times New Roman"/>
          <w:sz w:val="30"/>
          <w:szCs w:val="30"/>
          <w:highlight w:val="none"/>
        </w:rPr>
        <w:t>程序包括对岗位控制方面的AB角设定、重要资产的保管制度、要求编制人和审核人在每笔交易的传票上签名、设置操作权限、设定业务审批限额、关键岗位的轮岗和强制休假等。同时，本行的管理层具备充分的经验和能力，能够保证控制程序在日常运作中得以有效地实施。本行各个业务部门都建立有较详细的工作流程和相关的操作手册，并定期进行更新和人员培训，从程序上降低了操作风险。员工都有较明确的授权，包括员工的业务操作范围和批准的操作权限。</w:t>
      </w:r>
    </w:p>
    <w:p>
      <w:pPr>
        <w:keepNext w:val="0"/>
        <w:keepLines w:val="0"/>
        <w:pageBreakBefore w:val="0"/>
        <w:kinsoku/>
        <w:wordWrap/>
        <w:overflowPunct/>
        <w:topLinePunct w:val="0"/>
        <w:bidi w:val="0"/>
        <w:snapToGrid/>
        <w:spacing w:line="56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sz w:val="30"/>
          <w:szCs w:val="30"/>
          <w:highlight w:val="none"/>
        </w:rPr>
        <w:t>8.5  其他风险</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声誉风险方面：我行将声誉风险纳入到全面风险管理体系，完善了声誉风险管理机制，积极开展声誉风险培训，与信息科技公司合作，全面提高舆情检测力度，持续提升舆情应对处置能力，不断加强对重点领域和关键环节的控制，报告期内无重大声誉风险事件发生。</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kern w:val="0"/>
          <w:sz w:val="30"/>
          <w:szCs w:val="30"/>
          <w:highlight w:val="none"/>
        </w:rPr>
        <w:t>法律与合规风险方面：本公司在报告期内无重大损失性事件、无重大违规违法案件发生。</w:t>
      </w:r>
    </w:p>
    <w:p>
      <w:pPr>
        <w:keepNext w:val="0"/>
        <w:keepLines w:val="0"/>
        <w:pageBreakBefore w:val="0"/>
        <w:kinsoku/>
        <w:wordWrap/>
        <w:overflowPunct/>
        <w:topLinePunct w:val="0"/>
        <w:bidi w:val="0"/>
        <w:snapToGrid/>
        <w:spacing w:line="560" w:lineRule="exact"/>
        <w:ind w:left="479" w:leftChars="228" w:firstLine="12" w:firstLineChars="4"/>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sz w:val="30"/>
          <w:szCs w:val="30"/>
          <w:highlight w:val="none"/>
        </w:rPr>
        <w:t>9</w:t>
      </w:r>
      <w:r>
        <w:rPr>
          <w:rFonts w:hint="default" w:ascii="Times New Roman" w:hAnsi="Times New Roman" w:eastAsia="仿宋_GB2312" w:cs="Times New Roman"/>
          <w:b/>
          <w:sz w:val="30"/>
          <w:szCs w:val="30"/>
          <w:highlight w:val="none"/>
          <w:lang w:eastAsia="zh-CN"/>
        </w:rPr>
        <w:t>、</w:t>
      </w:r>
      <w:r>
        <w:rPr>
          <w:rFonts w:hint="default" w:ascii="Times New Roman" w:hAnsi="Times New Roman" w:eastAsia="仿宋_GB2312" w:cs="Times New Roman"/>
          <w:b/>
          <w:sz w:val="30"/>
          <w:szCs w:val="30"/>
          <w:highlight w:val="none"/>
        </w:rPr>
        <w:t>股东情况</w:t>
      </w:r>
    </w:p>
    <w:p>
      <w:pPr>
        <w:keepNext w:val="0"/>
        <w:keepLines w:val="0"/>
        <w:pageBreakBefore w:val="0"/>
        <w:kinsoku/>
        <w:wordWrap/>
        <w:overflowPunct/>
        <w:topLinePunct w:val="0"/>
        <w:bidi w:val="0"/>
        <w:adjustRightInd w:val="0"/>
        <w:snapToGrid/>
        <w:spacing w:line="560" w:lineRule="exact"/>
        <w:ind w:firstLine="600" w:firstLineChars="200"/>
        <w:rPr>
          <w:rFonts w:hint="default" w:ascii="Times New Roman" w:hAnsi="Times New Roman" w:eastAsia="仿宋_GB2312" w:cs="Times New Roman"/>
          <w:b w:val="0"/>
          <w:i w:val="0"/>
          <w:caps w:val="0"/>
          <w:color w:val="auto"/>
          <w:spacing w:val="0"/>
          <w:kern w:val="0"/>
          <w:sz w:val="30"/>
          <w:szCs w:val="30"/>
          <w:highlight w:val="none"/>
          <w:lang w:eastAsia="zh-CN"/>
        </w:rPr>
      </w:pPr>
      <w:r>
        <w:rPr>
          <w:rFonts w:hint="default" w:ascii="Times New Roman" w:hAnsi="Times New Roman" w:eastAsia="仿宋_GB2312" w:cs="Times New Roman"/>
          <w:b w:val="0"/>
          <w:i w:val="0"/>
          <w:caps w:val="0"/>
          <w:color w:val="auto"/>
          <w:spacing w:val="0"/>
          <w:kern w:val="0"/>
          <w:sz w:val="30"/>
          <w:szCs w:val="30"/>
          <w:highlight w:val="none"/>
          <w:shd w:val="clear" w:color="auto" w:fill="auto"/>
        </w:rPr>
        <w:t>浙</w:t>
      </w:r>
      <w:r>
        <w:rPr>
          <w:rFonts w:hint="default" w:ascii="Times New Roman" w:hAnsi="Times New Roman" w:eastAsia="仿宋_GB2312" w:cs="Times New Roman"/>
          <w:b w:val="0"/>
          <w:i w:val="0"/>
          <w:caps w:val="0"/>
          <w:color w:val="auto"/>
          <w:spacing w:val="0"/>
          <w:kern w:val="0"/>
          <w:sz w:val="30"/>
          <w:szCs w:val="30"/>
          <w:highlight w:val="none"/>
        </w:rPr>
        <w:t>江稠州商业银行注册资本35亿元，202</w:t>
      </w:r>
      <w:r>
        <w:rPr>
          <w:rFonts w:hint="default" w:ascii="Times New Roman" w:hAnsi="Times New Roman" w:eastAsia="仿宋_GB2312" w:cs="Times New Roman"/>
          <w:b w:val="0"/>
          <w:i w:val="0"/>
          <w:caps w:val="0"/>
          <w:color w:val="auto"/>
          <w:spacing w:val="0"/>
          <w:kern w:val="0"/>
          <w:sz w:val="30"/>
          <w:szCs w:val="30"/>
          <w:highlight w:val="none"/>
          <w:lang w:val="en-US" w:eastAsia="zh-CN"/>
        </w:rPr>
        <w:t>2</w:t>
      </w:r>
      <w:r>
        <w:rPr>
          <w:rFonts w:hint="default" w:ascii="Times New Roman" w:hAnsi="Times New Roman" w:eastAsia="仿宋_GB2312" w:cs="Times New Roman"/>
          <w:b w:val="0"/>
          <w:i w:val="0"/>
          <w:caps w:val="0"/>
          <w:color w:val="auto"/>
          <w:spacing w:val="0"/>
          <w:kern w:val="0"/>
          <w:sz w:val="30"/>
          <w:szCs w:val="30"/>
          <w:highlight w:val="none"/>
        </w:rPr>
        <w:t>年末资产总额</w:t>
      </w:r>
      <w:r>
        <w:rPr>
          <w:rFonts w:hint="default" w:ascii="Times New Roman" w:hAnsi="Times New Roman" w:eastAsia="仿宋_GB2312" w:cs="Times New Roman"/>
          <w:b w:val="0"/>
          <w:i w:val="0"/>
          <w:caps w:val="0"/>
          <w:color w:val="auto"/>
          <w:spacing w:val="0"/>
          <w:kern w:val="0"/>
          <w:sz w:val="30"/>
          <w:szCs w:val="30"/>
          <w:highlight w:val="none"/>
          <w:lang w:val="en-US" w:eastAsia="zh-CN"/>
        </w:rPr>
        <w:t>3270</w:t>
      </w:r>
      <w:r>
        <w:rPr>
          <w:rFonts w:hint="default" w:ascii="Times New Roman" w:hAnsi="Times New Roman" w:eastAsia="仿宋_GB2312" w:cs="Times New Roman"/>
          <w:b w:val="0"/>
          <w:i w:val="0"/>
          <w:caps w:val="0"/>
          <w:color w:val="auto"/>
          <w:spacing w:val="0"/>
          <w:kern w:val="0"/>
          <w:sz w:val="30"/>
          <w:szCs w:val="30"/>
          <w:highlight w:val="none"/>
        </w:rPr>
        <w:t>亿元，</w:t>
      </w:r>
      <w:r>
        <w:rPr>
          <w:rFonts w:hint="default" w:ascii="Times New Roman" w:hAnsi="Times New Roman" w:eastAsia="仿宋_GB2312" w:cs="Times New Roman"/>
          <w:b w:val="0"/>
          <w:i w:val="0"/>
          <w:caps w:val="0"/>
          <w:color w:val="auto"/>
          <w:spacing w:val="0"/>
          <w:kern w:val="0"/>
          <w:sz w:val="30"/>
          <w:szCs w:val="30"/>
          <w:highlight w:val="none"/>
          <w:lang w:val="en-US" w:eastAsia="zh-CN"/>
        </w:rPr>
        <w:t>2022</w:t>
      </w:r>
      <w:r>
        <w:rPr>
          <w:rFonts w:hint="default" w:ascii="Times New Roman" w:hAnsi="Times New Roman" w:eastAsia="仿宋_GB2312" w:cs="Times New Roman"/>
          <w:b w:val="0"/>
          <w:i w:val="0"/>
          <w:caps w:val="0"/>
          <w:color w:val="auto"/>
          <w:spacing w:val="0"/>
          <w:kern w:val="0"/>
          <w:sz w:val="30"/>
          <w:szCs w:val="30"/>
          <w:highlight w:val="none"/>
        </w:rPr>
        <w:t>年末下设义乌管理部及金华分行等14个分行，下辖18</w:t>
      </w:r>
      <w:r>
        <w:rPr>
          <w:rFonts w:hint="default" w:ascii="Times New Roman" w:hAnsi="Times New Roman" w:eastAsia="仿宋_GB2312" w:cs="Times New Roman"/>
          <w:b w:val="0"/>
          <w:i w:val="0"/>
          <w:caps w:val="0"/>
          <w:color w:val="auto"/>
          <w:spacing w:val="0"/>
          <w:kern w:val="0"/>
          <w:sz w:val="30"/>
          <w:szCs w:val="30"/>
          <w:highlight w:val="none"/>
          <w:lang w:val="en-US" w:eastAsia="zh-CN"/>
        </w:rPr>
        <w:t>7</w:t>
      </w:r>
      <w:r>
        <w:rPr>
          <w:rFonts w:hint="default" w:ascii="Times New Roman" w:hAnsi="Times New Roman" w:eastAsia="仿宋_GB2312" w:cs="Times New Roman"/>
          <w:b w:val="0"/>
          <w:i w:val="0"/>
          <w:caps w:val="0"/>
          <w:color w:val="auto"/>
          <w:spacing w:val="0"/>
          <w:kern w:val="0"/>
          <w:sz w:val="30"/>
          <w:szCs w:val="30"/>
          <w:highlight w:val="none"/>
        </w:rPr>
        <w:t>个支行。发起成立村镇银行9家及金融租赁公司1家，202</w:t>
      </w:r>
      <w:r>
        <w:rPr>
          <w:rFonts w:hint="default" w:ascii="Times New Roman" w:hAnsi="Times New Roman" w:eastAsia="仿宋_GB2312" w:cs="Times New Roman"/>
          <w:b w:val="0"/>
          <w:i w:val="0"/>
          <w:caps w:val="0"/>
          <w:color w:val="auto"/>
          <w:spacing w:val="0"/>
          <w:kern w:val="0"/>
          <w:sz w:val="30"/>
          <w:szCs w:val="30"/>
          <w:highlight w:val="none"/>
          <w:lang w:val="en-US" w:eastAsia="zh-CN"/>
        </w:rPr>
        <w:t>2</w:t>
      </w:r>
      <w:r>
        <w:rPr>
          <w:rFonts w:hint="default" w:ascii="Times New Roman" w:hAnsi="Times New Roman" w:eastAsia="仿宋_GB2312" w:cs="Times New Roman"/>
          <w:b w:val="0"/>
          <w:i w:val="0"/>
          <w:caps w:val="0"/>
          <w:color w:val="auto"/>
          <w:spacing w:val="0"/>
          <w:kern w:val="0"/>
          <w:sz w:val="30"/>
          <w:szCs w:val="30"/>
          <w:highlight w:val="none"/>
        </w:rPr>
        <w:t>年英国《银行家》全球银行排名第360位。</w:t>
      </w:r>
    </w:p>
    <w:p>
      <w:pPr>
        <w:keepNext w:val="0"/>
        <w:keepLines w:val="0"/>
        <w:pageBreakBefore w:val="0"/>
        <w:kinsoku/>
        <w:wordWrap/>
        <w:overflowPunct/>
        <w:topLinePunct w:val="0"/>
        <w:bidi w:val="0"/>
        <w:adjustRightInd w:val="0"/>
        <w:snapToGrid/>
        <w:spacing w:line="56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bCs/>
          <w:sz w:val="30"/>
          <w:szCs w:val="30"/>
          <w:highlight w:val="none"/>
        </w:rPr>
        <w:t>10</w:t>
      </w:r>
      <w:r>
        <w:rPr>
          <w:rFonts w:hint="default" w:ascii="Times New Roman" w:hAnsi="Times New Roman" w:eastAsia="仿宋_GB2312" w:cs="Times New Roman"/>
          <w:b/>
          <w:bCs/>
          <w:sz w:val="30"/>
          <w:szCs w:val="30"/>
          <w:highlight w:val="none"/>
          <w:lang w:eastAsia="zh-CN"/>
        </w:rPr>
        <w:t>、</w:t>
      </w:r>
      <w:r>
        <w:rPr>
          <w:rFonts w:hint="default" w:ascii="Times New Roman" w:hAnsi="Times New Roman" w:eastAsia="仿宋_GB2312" w:cs="Times New Roman"/>
          <w:b/>
          <w:bCs/>
          <w:sz w:val="30"/>
          <w:szCs w:val="30"/>
          <w:highlight w:val="none"/>
        </w:rPr>
        <w:t>董事会报告</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color w:val="FF0000"/>
          <w:sz w:val="30"/>
          <w:szCs w:val="30"/>
          <w:highlight w:val="none"/>
          <w:lang w:eastAsia="zh-CN"/>
        </w:rPr>
      </w:pPr>
      <w:r>
        <w:rPr>
          <w:rFonts w:hint="default" w:ascii="Times New Roman" w:hAnsi="Times New Roman" w:eastAsia="仿宋_GB2312" w:cs="Times New Roman"/>
          <w:sz w:val="30"/>
          <w:szCs w:val="30"/>
          <w:highlight w:val="none"/>
        </w:rPr>
        <w:t>报告期内，在监管部门的指导和当地政府的大力支持下，董事会切实履行《公司法》和本行《章程》所赋予的职责，认真贯彻落实</w:t>
      </w:r>
      <w:r>
        <w:rPr>
          <w:rFonts w:hint="default" w:ascii="Times New Roman" w:hAnsi="Times New Roman" w:eastAsia="仿宋_GB2312" w:cs="Times New Roman"/>
          <w:sz w:val="30"/>
          <w:szCs w:val="30"/>
          <w:highlight w:val="none"/>
          <w:lang w:eastAsia="zh-CN"/>
        </w:rPr>
        <w:t>发起行</w:t>
      </w:r>
      <w:r>
        <w:rPr>
          <w:rFonts w:hint="default" w:ascii="Times New Roman" w:hAnsi="Times New Roman" w:eastAsia="仿宋_GB2312" w:cs="Times New Roman"/>
          <w:sz w:val="30"/>
          <w:szCs w:val="30"/>
          <w:highlight w:val="none"/>
        </w:rPr>
        <w:t>各项决议，齐心协力，攻坚克难，</w:t>
      </w:r>
      <w:r>
        <w:rPr>
          <w:rFonts w:hint="default" w:ascii="Times New Roman" w:hAnsi="Times New Roman" w:eastAsia="仿宋_GB2312" w:cs="Times New Roman"/>
          <w:sz w:val="30"/>
          <w:szCs w:val="30"/>
          <w:highlight w:val="none"/>
          <w:lang w:eastAsia="zh-CN"/>
        </w:rPr>
        <w:t>确保稳健经营发展</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zh-CN"/>
        </w:rPr>
        <w:t>我行资产总额</w:t>
      </w:r>
      <w:r>
        <w:rPr>
          <w:rFonts w:hint="default" w:ascii="Times New Roman" w:hAnsi="Times New Roman" w:eastAsia="仿宋_GB2312" w:cs="Times New Roman"/>
          <w:sz w:val="30"/>
          <w:szCs w:val="30"/>
          <w:highlight w:val="none"/>
          <w:lang w:val="en-US" w:eastAsia="zh-CN"/>
        </w:rPr>
        <w:t>96435.94</w:t>
      </w:r>
      <w:r>
        <w:rPr>
          <w:rFonts w:hint="default" w:ascii="Times New Roman" w:hAnsi="Times New Roman" w:eastAsia="仿宋_GB2312" w:cs="Times New Roman"/>
          <w:sz w:val="30"/>
          <w:szCs w:val="30"/>
          <w:highlight w:val="none"/>
          <w:lang w:val="zh-CN"/>
        </w:rPr>
        <w:t>万元，较年初增加</w:t>
      </w:r>
      <w:r>
        <w:rPr>
          <w:rFonts w:hint="default" w:ascii="Times New Roman" w:hAnsi="Times New Roman" w:eastAsia="仿宋_GB2312" w:cs="Times New Roman"/>
          <w:sz w:val="30"/>
          <w:szCs w:val="30"/>
          <w:highlight w:val="none"/>
          <w:lang w:val="en-US" w:eastAsia="zh-CN"/>
        </w:rPr>
        <w:t>20082.83</w:t>
      </w:r>
      <w:r>
        <w:rPr>
          <w:rFonts w:hint="default" w:ascii="Times New Roman" w:hAnsi="Times New Roman" w:eastAsia="仿宋_GB2312" w:cs="Times New Roman"/>
          <w:sz w:val="30"/>
          <w:szCs w:val="30"/>
          <w:highlight w:val="none"/>
          <w:lang w:val="zh-CN"/>
        </w:rPr>
        <w:t>万元，增幅</w:t>
      </w:r>
      <w:r>
        <w:rPr>
          <w:rFonts w:hint="default" w:ascii="Times New Roman" w:hAnsi="Times New Roman" w:eastAsia="仿宋_GB2312" w:cs="Times New Roman"/>
          <w:sz w:val="30"/>
          <w:szCs w:val="30"/>
          <w:highlight w:val="none"/>
          <w:lang w:val="en-US" w:eastAsia="zh-CN"/>
        </w:rPr>
        <w:t>26.3</w:t>
      </w:r>
      <w:r>
        <w:rPr>
          <w:rFonts w:hint="default" w:ascii="Times New Roman" w:hAnsi="Times New Roman" w:eastAsia="仿宋_GB2312" w:cs="Times New Roman"/>
          <w:sz w:val="30"/>
          <w:szCs w:val="30"/>
          <w:highlight w:val="none"/>
          <w:lang w:val="zh-CN"/>
        </w:rPr>
        <w:t>%。负债总额</w:t>
      </w:r>
      <w:r>
        <w:rPr>
          <w:rFonts w:hint="default" w:ascii="Times New Roman" w:hAnsi="Times New Roman" w:eastAsia="仿宋_GB2312" w:cs="Times New Roman"/>
          <w:sz w:val="30"/>
          <w:szCs w:val="30"/>
          <w:highlight w:val="none"/>
          <w:lang w:val="en-US" w:eastAsia="zh-CN"/>
        </w:rPr>
        <w:t>83055.04</w:t>
      </w:r>
      <w:r>
        <w:rPr>
          <w:rFonts w:hint="default" w:ascii="Times New Roman" w:hAnsi="Times New Roman" w:eastAsia="仿宋_GB2312" w:cs="Times New Roman"/>
          <w:sz w:val="30"/>
          <w:szCs w:val="30"/>
          <w:highlight w:val="none"/>
          <w:lang w:val="zh-CN"/>
        </w:rPr>
        <w:t>万元，较年初增加</w:t>
      </w:r>
      <w:r>
        <w:rPr>
          <w:rFonts w:hint="default" w:ascii="Times New Roman" w:hAnsi="Times New Roman" w:eastAsia="仿宋_GB2312" w:cs="Times New Roman"/>
          <w:sz w:val="30"/>
          <w:szCs w:val="30"/>
          <w:highlight w:val="none"/>
          <w:lang w:val="en-US" w:eastAsia="zh-CN"/>
        </w:rPr>
        <w:t>20571.93</w:t>
      </w:r>
      <w:r>
        <w:rPr>
          <w:rFonts w:hint="default" w:ascii="Times New Roman" w:hAnsi="Times New Roman" w:eastAsia="仿宋_GB2312" w:cs="Times New Roman"/>
          <w:sz w:val="30"/>
          <w:szCs w:val="30"/>
          <w:highlight w:val="none"/>
          <w:lang w:val="zh-CN"/>
        </w:rPr>
        <w:t>万元，增幅</w:t>
      </w:r>
      <w:r>
        <w:rPr>
          <w:rFonts w:hint="default" w:ascii="Times New Roman" w:hAnsi="Times New Roman" w:eastAsia="仿宋_GB2312" w:cs="Times New Roman"/>
          <w:sz w:val="30"/>
          <w:szCs w:val="30"/>
          <w:highlight w:val="none"/>
          <w:lang w:val="en-US" w:eastAsia="zh-CN"/>
        </w:rPr>
        <w:t>32.92</w:t>
      </w:r>
      <w:r>
        <w:rPr>
          <w:rFonts w:hint="default" w:ascii="Times New Roman" w:hAnsi="Times New Roman" w:eastAsia="仿宋_GB2312" w:cs="Times New Roman"/>
          <w:sz w:val="30"/>
          <w:szCs w:val="30"/>
          <w:highlight w:val="none"/>
          <w:lang w:val="zh-CN"/>
        </w:rPr>
        <w:t>%，其中：各项存款余额</w:t>
      </w:r>
      <w:r>
        <w:rPr>
          <w:rFonts w:hint="default" w:ascii="Times New Roman" w:hAnsi="Times New Roman" w:eastAsia="仿宋_GB2312" w:cs="Times New Roman"/>
          <w:sz w:val="30"/>
          <w:szCs w:val="30"/>
          <w:highlight w:val="none"/>
          <w:lang w:val="en-US" w:eastAsia="zh-CN"/>
        </w:rPr>
        <w:t>80460.08</w:t>
      </w:r>
      <w:r>
        <w:rPr>
          <w:rFonts w:hint="default" w:ascii="Times New Roman" w:hAnsi="Times New Roman" w:eastAsia="仿宋_GB2312" w:cs="Times New Roman"/>
          <w:sz w:val="30"/>
          <w:szCs w:val="30"/>
          <w:highlight w:val="none"/>
          <w:lang w:val="zh-CN"/>
        </w:rPr>
        <w:t>万元，较年初增加</w:t>
      </w:r>
      <w:r>
        <w:rPr>
          <w:rFonts w:hint="default" w:ascii="Times New Roman" w:hAnsi="Times New Roman" w:eastAsia="仿宋_GB2312" w:cs="Times New Roman"/>
          <w:sz w:val="30"/>
          <w:szCs w:val="30"/>
          <w:highlight w:val="none"/>
          <w:lang w:val="en-US" w:eastAsia="zh-CN"/>
        </w:rPr>
        <w:t>19896.16</w:t>
      </w:r>
      <w:r>
        <w:rPr>
          <w:rFonts w:hint="default" w:ascii="Times New Roman" w:hAnsi="Times New Roman" w:eastAsia="仿宋_GB2312" w:cs="Times New Roman"/>
          <w:sz w:val="30"/>
          <w:szCs w:val="30"/>
          <w:highlight w:val="none"/>
          <w:lang w:val="zh-CN"/>
        </w:rPr>
        <w:t>万元，增幅</w:t>
      </w:r>
      <w:r>
        <w:rPr>
          <w:rFonts w:hint="default" w:ascii="Times New Roman" w:hAnsi="Times New Roman" w:eastAsia="仿宋_GB2312" w:cs="Times New Roman"/>
          <w:sz w:val="30"/>
          <w:szCs w:val="30"/>
          <w:highlight w:val="none"/>
          <w:lang w:val="en-US" w:eastAsia="zh-CN"/>
        </w:rPr>
        <w:t>32.85</w:t>
      </w:r>
      <w:r>
        <w:rPr>
          <w:rFonts w:hint="default" w:ascii="Times New Roman" w:hAnsi="Times New Roman" w:eastAsia="仿宋_GB2312" w:cs="Times New Roman"/>
          <w:sz w:val="30"/>
          <w:szCs w:val="30"/>
          <w:highlight w:val="none"/>
          <w:lang w:val="zh-CN"/>
        </w:rPr>
        <w:t>%，存款年日均</w:t>
      </w:r>
      <w:r>
        <w:rPr>
          <w:rFonts w:hint="default" w:ascii="Times New Roman" w:hAnsi="Times New Roman" w:eastAsia="仿宋_GB2312" w:cs="Times New Roman"/>
          <w:sz w:val="30"/>
          <w:szCs w:val="30"/>
          <w:highlight w:val="none"/>
          <w:lang w:val="en-US" w:eastAsia="zh-CN"/>
        </w:rPr>
        <w:t>74942</w:t>
      </w:r>
      <w:r>
        <w:rPr>
          <w:rFonts w:hint="default" w:ascii="Times New Roman" w:hAnsi="Times New Roman" w:eastAsia="仿宋_GB2312" w:cs="Times New Roman"/>
          <w:sz w:val="30"/>
          <w:szCs w:val="30"/>
          <w:highlight w:val="none"/>
          <w:lang w:val="zh-CN"/>
        </w:rPr>
        <w:t>万元；各项贷款余额</w:t>
      </w:r>
      <w:r>
        <w:rPr>
          <w:rFonts w:hint="default" w:ascii="Times New Roman" w:hAnsi="Times New Roman" w:eastAsia="仿宋_GB2312" w:cs="Times New Roman"/>
          <w:sz w:val="30"/>
          <w:szCs w:val="30"/>
          <w:highlight w:val="none"/>
          <w:lang w:val="en-US" w:eastAsia="zh-CN"/>
        </w:rPr>
        <w:t>60443.95</w:t>
      </w:r>
      <w:r>
        <w:rPr>
          <w:rFonts w:hint="default" w:ascii="Times New Roman" w:hAnsi="Times New Roman" w:eastAsia="仿宋_GB2312" w:cs="Times New Roman"/>
          <w:sz w:val="30"/>
          <w:szCs w:val="30"/>
          <w:highlight w:val="none"/>
          <w:lang w:val="zh-CN"/>
        </w:rPr>
        <w:t>万元，较年初增加</w:t>
      </w:r>
      <w:r>
        <w:rPr>
          <w:rFonts w:hint="default" w:ascii="Times New Roman" w:hAnsi="Times New Roman" w:eastAsia="仿宋_GB2312" w:cs="Times New Roman"/>
          <w:sz w:val="30"/>
          <w:szCs w:val="30"/>
          <w:highlight w:val="none"/>
          <w:lang w:val="en-US" w:eastAsia="zh-CN"/>
        </w:rPr>
        <w:t>8647.12</w:t>
      </w:r>
      <w:r>
        <w:rPr>
          <w:rFonts w:hint="default" w:ascii="Times New Roman" w:hAnsi="Times New Roman" w:eastAsia="仿宋_GB2312" w:cs="Times New Roman"/>
          <w:sz w:val="30"/>
          <w:szCs w:val="30"/>
          <w:highlight w:val="none"/>
          <w:lang w:val="zh-CN"/>
        </w:rPr>
        <w:t>万元，增幅</w:t>
      </w:r>
      <w:r>
        <w:rPr>
          <w:rFonts w:hint="default" w:ascii="Times New Roman" w:hAnsi="Times New Roman" w:eastAsia="仿宋_GB2312" w:cs="Times New Roman"/>
          <w:sz w:val="30"/>
          <w:szCs w:val="30"/>
          <w:highlight w:val="none"/>
          <w:lang w:val="en-US" w:eastAsia="zh-CN"/>
        </w:rPr>
        <w:t>16.69</w:t>
      </w:r>
      <w:r>
        <w:rPr>
          <w:rFonts w:hint="default" w:ascii="Times New Roman" w:hAnsi="Times New Roman" w:eastAsia="仿宋_GB2312" w:cs="Times New Roman"/>
          <w:sz w:val="30"/>
          <w:szCs w:val="30"/>
          <w:highlight w:val="none"/>
          <w:lang w:val="zh-CN"/>
        </w:rPr>
        <w:t>%</w:t>
      </w:r>
      <w:r>
        <w:rPr>
          <w:rFonts w:hint="default" w:ascii="Times New Roman" w:hAnsi="Times New Roman" w:eastAsia="仿宋_GB2312" w:cs="Times New Roman"/>
          <w:sz w:val="30"/>
          <w:szCs w:val="30"/>
          <w:highlight w:val="none"/>
        </w:rPr>
        <w:t>；全年没有发生经济案件和“三防一保”案件。</w:t>
      </w:r>
    </w:p>
    <w:p>
      <w:pPr>
        <w:keepNext w:val="0"/>
        <w:keepLines w:val="0"/>
        <w:pageBreakBefore w:val="0"/>
        <w:kinsoku/>
        <w:wordWrap/>
        <w:overflowPunct/>
        <w:topLinePunct w:val="0"/>
        <w:bidi w:val="0"/>
        <w:snapToGrid/>
        <w:spacing w:line="56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bCs/>
          <w:sz w:val="30"/>
          <w:szCs w:val="30"/>
          <w:highlight w:val="none"/>
        </w:rPr>
        <w:t>11</w:t>
      </w:r>
      <w:r>
        <w:rPr>
          <w:rFonts w:hint="default" w:ascii="Times New Roman" w:hAnsi="Times New Roman" w:eastAsia="仿宋_GB2312" w:cs="Times New Roman"/>
          <w:b/>
          <w:bCs/>
          <w:sz w:val="30"/>
          <w:szCs w:val="30"/>
          <w:highlight w:val="none"/>
          <w:lang w:eastAsia="zh-CN"/>
        </w:rPr>
        <w:t>、</w:t>
      </w:r>
      <w:r>
        <w:rPr>
          <w:rFonts w:hint="default" w:ascii="Times New Roman" w:hAnsi="Times New Roman" w:eastAsia="仿宋_GB2312" w:cs="Times New Roman"/>
          <w:b/>
          <w:bCs/>
          <w:sz w:val="30"/>
          <w:szCs w:val="30"/>
          <w:highlight w:val="none"/>
        </w:rPr>
        <w:t>监事会报告</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监事会认为：报告期内，公司依法经营，公司财务情况、关联交易等均不存在问题。未发现公司董事、高级管理层成员执行公司职务时有违反法律法规、《公司章程》或损害公司及股东利益的行为。</w:t>
      </w:r>
    </w:p>
    <w:p>
      <w:pPr>
        <w:keepNext w:val="0"/>
        <w:keepLines w:val="0"/>
        <w:pageBreakBefore w:val="0"/>
        <w:kinsoku/>
        <w:wordWrap/>
        <w:overflowPunct/>
        <w:topLinePunct w:val="0"/>
        <w:bidi w:val="0"/>
        <w:snapToGrid/>
        <w:spacing w:line="560" w:lineRule="exact"/>
        <w:ind w:left="479" w:leftChars="228" w:firstLine="0" w:firstLineChars="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bCs/>
          <w:sz w:val="30"/>
          <w:szCs w:val="30"/>
          <w:highlight w:val="none"/>
        </w:rPr>
        <w:t>12</w:t>
      </w:r>
      <w:r>
        <w:rPr>
          <w:rFonts w:hint="default" w:ascii="Times New Roman" w:hAnsi="Times New Roman" w:eastAsia="仿宋_GB2312" w:cs="Times New Roman"/>
          <w:b/>
          <w:bCs/>
          <w:sz w:val="30"/>
          <w:szCs w:val="30"/>
          <w:highlight w:val="none"/>
          <w:lang w:eastAsia="zh-CN"/>
        </w:rPr>
        <w:t>、</w:t>
      </w:r>
      <w:r>
        <w:rPr>
          <w:rFonts w:hint="default" w:ascii="Times New Roman" w:hAnsi="Times New Roman" w:eastAsia="仿宋_GB2312" w:cs="Times New Roman"/>
          <w:b/>
          <w:bCs/>
          <w:sz w:val="30"/>
          <w:szCs w:val="30"/>
          <w:highlight w:val="none"/>
        </w:rPr>
        <w:t>其它重要事项</w:t>
      </w:r>
      <w:r>
        <w:rPr>
          <w:rFonts w:hint="default" w:ascii="Times New Roman" w:hAnsi="Times New Roman" w:eastAsia="仿宋_GB2312" w:cs="Times New Roman"/>
          <w:sz w:val="30"/>
          <w:szCs w:val="30"/>
          <w:highlight w:val="none"/>
        </w:rPr>
        <w:br w:type="textWrapping"/>
      </w:r>
      <w:r>
        <w:rPr>
          <w:rFonts w:hint="default" w:ascii="Times New Roman" w:hAnsi="Times New Roman" w:eastAsia="仿宋_GB2312" w:cs="Times New Roman"/>
          <w:b/>
          <w:sz w:val="30"/>
          <w:szCs w:val="30"/>
          <w:highlight w:val="none"/>
        </w:rPr>
        <w:t>12.1重大诉讼仲裁事项</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本公司报告期内有</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起劳动争议诉讼仲裁事项</w:t>
      </w:r>
      <w:r>
        <w:rPr>
          <w:rFonts w:hint="default" w:ascii="Times New Roman" w:hAnsi="Times New Roman" w:eastAsia="仿宋_GB2312" w:cs="Times New Roman"/>
          <w:sz w:val="30"/>
          <w:szCs w:val="30"/>
          <w:highlight w:val="none"/>
          <w:lang w:eastAsia="zh-CN"/>
        </w:rPr>
        <w:t>。</w:t>
      </w:r>
    </w:p>
    <w:p>
      <w:pPr>
        <w:keepNext w:val="0"/>
        <w:keepLines w:val="0"/>
        <w:pageBreakBefore w:val="0"/>
        <w:kinsoku/>
        <w:wordWrap/>
        <w:overflowPunct/>
        <w:topLinePunct w:val="0"/>
        <w:bidi w:val="0"/>
        <w:snapToGrid/>
        <w:spacing w:line="560" w:lineRule="exact"/>
        <w:ind w:left="420" w:leftChars="200" w:firstLine="12" w:firstLineChars="4"/>
        <w:rPr>
          <w:rFonts w:hint="default" w:ascii="Times New Roman" w:hAnsi="Times New Roman" w:eastAsia="仿宋_GB2312" w:cs="Times New Roman"/>
          <w:b/>
          <w:sz w:val="30"/>
          <w:szCs w:val="30"/>
          <w:highlight w:val="none"/>
          <w:lang w:val="en-US" w:eastAsia="zh-CN"/>
        </w:rPr>
      </w:pPr>
      <w:r>
        <w:rPr>
          <w:rFonts w:hint="default" w:ascii="Times New Roman" w:hAnsi="Times New Roman" w:eastAsia="仿宋_GB2312" w:cs="Times New Roman"/>
          <w:b/>
          <w:sz w:val="30"/>
          <w:szCs w:val="30"/>
          <w:highlight w:val="none"/>
          <w:lang w:val="en-US" w:eastAsia="zh-CN"/>
        </w:rPr>
        <w:t>12.2 其他投诉</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t>本年度，我行共受理金融消费者投诉</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起；接受客户电话咨询</w:t>
      </w:r>
      <w:r>
        <w:rPr>
          <w:rFonts w:hint="default" w:ascii="Times New Roman" w:hAnsi="Times New Roman" w:eastAsia="仿宋_GB2312" w:cs="Times New Roman"/>
          <w:sz w:val="30"/>
          <w:szCs w:val="30"/>
          <w:highlight w:val="none"/>
          <w:lang w:val="en-US" w:eastAsia="zh-CN"/>
        </w:rPr>
        <w:t>82</w:t>
      </w:r>
      <w:r>
        <w:rPr>
          <w:rFonts w:hint="default" w:ascii="Times New Roman" w:hAnsi="Times New Roman" w:eastAsia="仿宋_GB2312" w:cs="Times New Roman"/>
          <w:sz w:val="30"/>
          <w:szCs w:val="30"/>
          <w:highlight w:val="none"/>
        </w:rPr>
        <w:t>余次、营业网点意见簿客户建议0条，主要围绕我行开展支付结算、账户开立、存（贷）款业务咨询、优质文明服务建议等方面。</w:t>
      </w:r>
    </w:p>
    <w:p>
      <w:pPr>
        <w:keepNext w:val="0"/>
        <w:keepLines w:val="0"/>
        <w:pageBreakBefore w:val="0"/>
        <w:kinsoku/>
        <w:wordWrap/>
        <w:overflowPunct/>
        <w:topLinePunct w:val="0"/>
        <w:bidi w:val="0"/>
        <w:snapToGrid/>
        <w:spacing w:line="560" w:lineRule="exact"/>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 xml:space="preserve">    12.</w:t>
      </w:r>
      <w:r>
        <w:rPr>
          <w:rFonts w:hint="default" w:ascii="Times New Roman" w:hAnsi="Times New Roman" w:eastAsia="仿宋_GB2312" w:cs="Times New Roman"/>
          <w:b/>
          <w:sz w:val="30"/>
          <w:szCs w:val="30"/>
          <w:highlight w:val="none"/>
          <w:lang w:val="en-US" w:eastAsia="zh-CN"/>
        </w:rPr>
        <w:t>3</w:t>
      </w:r>
      <w:r>
        <w:rPr>
          <w:rFonts w:hint="default" w:ascii="Times New Roman" w:hAnsi="Times New Roman" w:eastAsia="仿宋_GB2312" w:cs="Times New Roman"/>
          <w:b/>
          <w:sz w:val="30"/>
          <w:szCs w:val="30"/>
          <w:highlight w:val="none"/>
        </w:rPr>
        <w:t>重大托管、担保、承诺、委托资产管理事项</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sz w:val="30"/>
          <w:szCs w:val="30"/>
          <w:highlight w:val="none"/>
        </w:rPr>
        <w:t>本公司报告期内无重大托管、担保、承诺、委托资产管理事项。</w:t>
      </w:r>
    </w:p>
    <w:p>
      <w:pPr>
        <w:keepNext w:val="0"/>
        <w:keepLines w:val="0"/>
        <w:pageBreakBefore w:val="0"/>
        <w:kinsoku/>
        <w:wordWrap/>
        <w:overflowPunct/>
        <w:topLinePunct w:val="0"/>
        <w:bidi w:val="0"/>
        <w:snapToGrid/>
        <w:spacing w:line="560" w:lineRule="exact"/>
        <w:ind w:firstLine="602" w:firstLineChars="200"/>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b/>
          <w:sz w:val="30"/>
          <w:szCs w:val="30"/>
          <w:highlight w:val="none"/>
        </w:rPr>
        <w:t>12.</w:t>
      </w:r>
      <w:r>
        <w:rPr>
          <w:rFonts w:hint="default" w:ascii="Times New Roman" w:hAnsi="Times New Roman" w:eastAsia="仿宋_GB2312" w:cs="Times New Roman"/>
          <w:b/>
          <w:sz w:val="30"/>
          <w:szCs w:val="30"/>
          <w:highlight w:val="none"/>
          <w:lang w:val="en-US" w:eastAsia="zh-CN"/>
        </w:rPr>
        <w:t>4</w:t>
      </w:r>
      <w:r>
        <w:rPr>
          <w:rFonts w:hint="default" w:ascii="Times New Roman" w:hAnsi="Times New Roman" w:eastAsia="仿宋_GB2312" w:cs="Times New Roman"/>
          <w:b/>
          <w:sz w:val="30"/>
          <w:szCs w:val="30"/>
          <w:highlight w:val="none"/>
        </w:rPr>
        <w:t>关联交易情况</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sz w:val="30"/>
          <w:szCs w:val="30"/>
          <w:highlight w:val="none"/>
        </w:rPr>
        <w:t>本公司在处理关联交易时，遵循诚实信用和公允的商业原则，严格按照有关法律法规和公司制定的相关规章制度，以不优于非关联方同类型交易的条件进行操作。</w:t>
      </w:r>
      <w:r>
        <w:rPr>
          <w:rFonts w:hint="default" w:ascii="Times New Roman" w:hAnsi="Times New Roman" w:eastAsia="仿宋_GB2312" w:cs="Times New Roman"/>
          <w:kern w:val="0"/>
          <w:sz w:val="30"/>
          <w:szCs w:val="30"/>
          <w:highlight w:val="none"/>
        </w:rPr>
        <w:t>报告期内无向持有本行5%及5%以上股份的股东收取的贷款利息收入的事项；无对董事、关键管理人员的贷款。</w:t>
      </w:r>
    </w:p>
    <w:p>
      <w:pPr>
        <w:keepNext w:val="0"/>
        <w:keepLines w:val="0"/>
        <w:pageBreakBefore w:val="0"/>
        <w:kinsoku/>
        <w:wordWrap/>
        <w:overflowPunct/>
        <w:topLinePunct w:val="0"/>
        <w:bidi w:val="0"/>
        <w:snapToGrid/>
        <w:spacing w:line="560" w:lineRule="exact"/>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color w:val="auto"/>
          <w:kern w:val="0"/>
          <w:sz w:val="30"/>
          <w:szCs w:val="30"/>
          <w:highlight w:val="none"/>
          <w:lang w:val="en-US" w:eastAsia="zh-CN"/>
        </w:rPr>
        <w:t>报告期内上报关联交易3笔，为我行存放主发起行浙江稠州商业银行股份有限公司同业存款合计3笔，金额3000万元。</w:t>
      </w:r>
      <w:r>
        <w:rPr>
          <w:rFonts w:hint="default" w:ascii="Times New Roman" w:hAnsi="Times New Roman" w:eastAsia="仿宋_GB2312" w:cs="Times New Roman"/>
          <w:b/>
          <w:sz w:val="30"/>
          <w:szCs w:val="30"/>
          <w:highlight w:val="none"/>
        </w:rPr>
        <w:t xml:space="preserve">    </w:t>
      </w:r>
    </w:p>
    <w:p>
      <w:pPr>
        <w:keepNext w:val="0"/>
        <w:keepLines w:val="0"/>
        <w:pageBreakBefore w:val="0"/>
        <w:kinsoku/>
        <w:wordWrap/>
        <w:overflowPunct/>
        <w:topLinePunct w:val="0"/>
        <w:bidi w:val="0"/>
        <w:snapToGrid/>
        <w:spacing w:line="560" w:lineRule="exact"/>
        <w:ind w:firstLine="602" w:firstLineChars="200"/>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12.</w:t>
      </w:r>
      <w:r>
        <w:rPr>
          <w:rFonts w:hint="default" w:ascii="Times New Roman" w:hAnsi="Times New Roman" w:eastAsia="仿宋_GB2312" w:cs="Times New Roman"/>
          <w:b/>
          <w:sz w:val="30"/>
          <w:szCs w:val="30"/>
          <w:highlight w:val="none"/>
          <w:lang w:val="en-US" w:eastAsia="zh-CN"/>
        </w:rPr>
        <w:t>5</w:t>
      </w:r>
      <w:r>
        <w:rPr>
          <w:rFonts w:hint="default" w:ascii="Times New Roman" w:hAnsi="Times New Roman" w:eastAsia="仿宋_GB2312" w:cs="Times New Roman"/>
          <w:b/>
          <w:sz w:val="30"/>
          <w:szCs w:val="30"/>
          <w:highlight w:val="none"/>
        </w:rPr>
        <w:t>公司董事、监事及高级管理人员接受处罚情况</w:t>
      </w:r>
    </w:p>
    <w:tbl>
      <w:tblPr>
        <w:tblStyle w:val="3"/>
        <w:tblW w:w="8355" w:type="dxa"/>
        <w:tblInd w:w="0" w:type="dxa"/>
        <w:tblLayout w:type="fixed"/>
        <w:tblCellMar>
          <w:top w:w="0" w:type="dxa"/>
          <w:left w:w="0" w:type="dxa"/>
          <w:bottom w:w="0" w:type="dxa"/>
          <w:right w:w="0" w:type="dxa"/>
        </w:tblCellMar>
      </w:tblPr>
      <w:tblGrid>
        <w:gridCol w:w="555"/>
        <w:gridCol w:w="886"/>
        <w:gridCol w:w="1550"/>
        <w:gridCol w:w="1400"/>
        <w:gridCol w:w="1583"/>
        <w:gridCol w:w="767"/>
        <w:gridCol w:w="933"/>
        <w:gridCol w:w="681"/>
      </w:tblGrid>
      <w:tr>
        <w:tblPrEx>
          <w:tblCellMar>
            <w:top w:w="0" w:type="dxa"/>
            <w:left w:w="0" w:type="dxa"/>
            <w:bottom w:w="0" w:type="dxa"/>
            <w:right w:w="0" w:type="dxa"/>
          </w:tblCellMar>
        </w:tblPrEx>
        <w:trPr>
          <w:trHeight w:val="30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序号</w:t>
            </w:r>
          </w:p>
        </w:tc>
        <w:tc>
          <w:tcPr>
            <w:tcW w:w="8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对象</w:t>
            </w:r>
          </w:p>
        </w:tc>
        <w:tc>
          <w:tcPr>
            <w:tcW w:w="15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处罚事由</w:t>
            </w:r>
          </w:p>
        </w:tc>
        <w:tc>
          <w:tcPr>
            <w:tcW w:w="14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处罚单位</w:t>
            </w:r>
          </w:p>
        </w:tc>
        <w:tc>
          <w:tcPr>
            <w:tcW w:w="15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处罚决定书</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文号</w:t>
            </w:r>
          </w:p>
        </w:tc>
        <w:tc>
          <w:tcPr>
            <w:tcW w:w="7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时间</w:t>
            </w:r>
          </w:p>
        </w:tc>
        <w:tc>
          <w:tcPr>
            <w:tcW w:w="161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4"/>
                <w:szCs w:val="24"/>
                <w:highlight w:val="none"/>
              </w:rPr>
            </w:pPr>
          </w:p>
        </w:tc>
      </w:tr>
      <w:tr>
        <w:tblPrEx>
          <w:tblCellMar>
            <w:top w:w="0" w:type="dxa"/>
            <w:left w:w="0" w:type="dxa"/>
            <w:bottom w:w="0" w:type="dxa"/>
            <w:right w:w="0" w:type="dxa"/>
          </w:tblCellMar>
        </w:tblPrEx>
        <w:trPr>
          <w:trHeight w:val="57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4"/>
                <w:szCs w:val="24"/>
                <w:highlight w:val="none"/>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4"/>
                <w:szCs w:val="24"/>
                <w:highlight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4"/>
                <w:szCs w:val="24"/>
                <w:highlight w:val="none"/>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4"/>
                <w:szCs w:val="24"/>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4"/>
                <w:szCs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4"/>
                <w:szCs w:val="24"/>
                <w:highlight w:val="none"/>
              </w:rPr>
            </w:pP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罚款金额（万元）</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其他</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w:t>
            </w:r>
          </w:p>
        </w:tc>
      </w:tr>
      <w:tr>
        <w:tblPrEx>
          <w:tblCellMar>
            <w:top w:w="0" w:type="dxa"/>
            <w:left w:w="0" w:type="dxa"/>
            <w:bottom w:w="0" w:type="dxa"/>
            <w:right w:w="0" w:type="dxa"/>
          </w:tblCellMar>
        </w:tblPrEx>
        <w:trPr>
          <w:trHeight w:val="510" w:hRule="atLeast"/>
        </w:trPr>
        <w:tc>
          <w:tcPr>
            <w:tcW w:w="5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p>
        </w:tc>
        <w:tc>
          <w:tcPr>
            <w:tcW w:w="88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c>
          <w:tcPr>
            <w:tcW w:w="15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c>
          <w:tcPr>
            <w:tcW w:w="140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c>
          <w:tcPr>
            <w:tcW w:w="158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c>
          <w:tcPr>
            <w:tcW w:w="76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c>
          <w:tcPr>
            <w:tcW w:w="93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无</w:t>
            </w:r>
          </w:p>
        </w:tc>
        <w:tc>
          <w:tcPr>
            <w:tcW w:w="68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r>
      <w:tr>
        <w:tblPrEx>
          <w:tblCellMar>
            <w:top w:w="0" w:type="dxa"/>
            <w:left w:w="0" w:type="dxa"/>
            <w:bottom w:w="0" w:type="dxa"/>
            <w:right w:w="0" w:type="dxa"/>
          </w:tblCellMar>
        </w:tblPrEx>
        <w:trPr>
          <w:trHeight w:val="510" w:hRule="atLeast"/>
        </w:trPr>
        <w:tc>
          <w:tcPr>
            <w:tcW w:w="5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szCs w:val="21"/>
                <w:highlight w:val="none"/>
              </w:rPr>
            </w:pPr>
          </w:p>
        </w:tc>
        <w:tc>
          <w:tcPr>
            <w:tcW w:w="88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szCs w:val="21"/>
                <w:highlight w:val="none"/>
              </w:rPr>
            </w:pPr>
          </w:p>
        </w:tc>
        <w:tc>
          <w:tcPr>
            <w:tcW w:w="15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color w:val="000000"/>
                <w:szCs w:val="21"/>
                <w:highlight w:val="none"/>
              </w:rPr>
            </w:pPr>
          </w:p>
        </w:tc>
        <w:tc>
          <w:tcPr>
            <w:tcW w:w="140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szCs w:val="21"/>
                <w:highlight w:val="none"/>
              </w:rPr>
            </w:pPr>
          </w:p>
        </w:tc>
        <w:tc>
          <w:tcPr>
            <w:tcW w:w="158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szCs w:val="21"/>
                <w:highlight w:val="none"/>
              </w:rPr>
            </w:pPr>
          </w:p>
        </w:tc>
        <w:tc>
          <w:tcPr>
            <w:tcW w:w="76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szCs w:val="21"/>
                <w:highlight w:val="none"/>
              </w:rPr>
            </w:pPr>
          </w:p>
        </w:tc>
        <w:tc>
          <w:tcPr>
            <w:tcW w:w="93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szCs w:val="21"/>
                <w:highlight w:val="none"/>
              </w:rPr>
            </w:pPr>
          </w:p>
        </w:tc>
        <w:tc>
          <w:tcPr>
            <w:tcW w:w="68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sz w:val="30"/>
          <w:szCs w:val="30"/>
          <w:highlight w:val="none"/>
        </w:rPr>
        <w:t>12.</w:t>
      </w:r>
      <w:r>
        <w:rPr>
          <w:rFonts w:hint="default" w:ascii="Times New Roman" w:hAnsi="Times New Roman" w:eastAsia="仿宋_GB2312" w:cs="Times New Roman"/>
          <w:b/>
          <w:sz w:val="30"/>
          <w:szCs w:val="30"/>
          <w:highlight w:val="none"/>
          <w:lang w:val="en-US" w:eastAsia="zh-CN"/>
        </w:rPr>
        <w:t>6</w:t>
      </w:r>
      <w:r>
        <w:rPr>
          <w:rFonts w:hint="default" w:ascii="Times New Roman" w:hAnsi="Times New Roman" w:eastAsia="仿宋_GB2312" w:cs="Times New Roman"/>
          <w:b/>
          <w:sz w:val="30"/>
          <w:szCs w:val="30"/>
          <w:highlight w:val="none"/>
        </w:rPr>
        <w:t>聘任、解聘会计师事务所情况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报告期内，本公司续聘上会会计师事务所</w:t>
      </w:r>
      <w:r>
        <w:rPr>
          <w:rFonts w:hint="default" w:ascii="Times New Roman" w:hAnsi="Times New Roman" w:eastAsia="仿宋_GB2312" w:cs="Times New Roman"/>
          <w:sz w:val="30"/>
          <w:szCs w:val="30"/>
          <w:highlight w:val="none"/>
          <w:lang w:eastAsia="zh-CN"/>
        </w:rPr>
        <w:t>（特殊普通合伙）</w:t>
      </w:r>
      <w:r>
        <w:rPr>
          <w:rFonts w:hint="default" w:ascii="Times New Roman" w:hAnsi="Times New Roman" w:eastAsia="仿宋_GB2312" w:cs="Times New Roman"/>
          <w:sz w:val="30"/>
          <w:szCs w:val="30"/>
          <w:highlight w:val="none"/>
        </w:rPr>
        <w:t>担任公司按国内会计准则编制年度财务报</w:t>
      </w:r>
      <w:r>
        <w:rPr>
          <w:rFonts w:hint="default" w:ascii="Times New Roman" w:hAnsi="Times New Roman" w:eastAsia="仿宋_GB2312" w:cs="Times New Roman"/>
          <w:sz w:val="30"/>
          <w:szCs w:val="30"/>
          <w:highlight w:val="none"/>
          <w:lang w:eastAsia="zh-CN"/>
        </w:rPr>
        <w:t>表</w:t>
      </w:r>
      <w:r>
        <w:rPr>
          <w:rFonts w:hint="default" w:ascii="Times New Roman" w:hAnsi="Times New Roman" w:eastAsia="仿宋_GB2312" w:cs="Times New Roman"/>
          <w:sz w:val="30"/>
          <w:szCs w:val="30"/>
          <w:highlight w:val="none"/>
        </w:rPr>
        <w:t>的审计机构。</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bCs/>
          <w:sz w:val="30"/>
          <w:szCs w:val="30"/>
          <w:highlight w:val="none"/>
        </w:rPr>
        <w:t>13</w:t>
      </w:r>
      <w:r>
        <w:rPr>
          <w:rFonts w:hint="default" w:ascii="Times New Roman" w:hAnsi="Times New Roman" w:eastAsia="仿宋_GB2312" w:cs="Times New Roman"/>
          <w:b/>
          <w:bCs/>
          <w:sz w:val="30"/>
          <w:szCs w:val="30"/>
          <w:highlight w:val="none"/>
          <w:lang w:eastAsia="zh-CN"/>
        </w:rPr>
        <w:t>、</w:t>
      </w:r>
      <w:r>
        <w:rPr>
          <w:rFonts w:hint="default" w:ascii="Times New Roman" w:hAnsi="Times New Roman" w:eastAsia="仿宋_GB2312" w:cs="Times New Roman"/>
          <w:b/>
          <w:bCs/>
          <w:sz w:val="30"/>
          <w:szCs w:val="30"/>
          <w:highlight w:val="none"/>
        </w:rPr>
        <w:t>财务报告</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sz w:val="30"/>
          <w:szCs w:val="30"/>
          <w:highlight w:val="none"/>
        </w:rPr>
        <w:t>13.1审计意见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本公司202</w:t>
      </w:r>
      <w:r>
        <w:rPr>
          <w:rFonts w:hint="default"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rPr>
        <w:t>年度财务报</w:t>
      </w:r>
      <w:r>
        <w:rPr>
          <w:rFonts w:hint="default" w:ascii="Times New Roman" w:hAnsi="Times New Roman" w:eastAsia="仿宋_GB2312" w:cs="Times New Roman"/>
          <w:sz w:val="30"/>
          <w:szCs w:val="30"/>
          <w:highlight w:val="none"/>
          <w:lang w:eastAsia="zh-CN"/>
        </w:rPr>
        <w:t>表</w:t>
      </w:r>
      <w:r>
        <w:rPr>
          <w:rFonts w:hint="default" w:ascii="Times New Roman" w:hAnsi="Times New Roman" w:eastAsia="仿宋_GB2312" w:cs="Times New Roman"/>
          <w:sz w:val="30"/>
          <w:szCs w:val="30"/>
          <w:highlight w:val="none"/>
        </w:rPr>
        <w:t>已经上会会计师事务所</w:t>
      </w:r>
      <w:r>
        <w:rPr>
          <w:rFonts w:hint="default" w:ascii="Times New Roman" w:hAnsi="Times New Roman" w:eastAsia="仿宋_GB2312" w:cs="Times New Roman"/>
          <w:sz w:val="30"/>
          <w:szCs w:val="30"/>
          <w:highlight w:val="none"/>
          <w:lang w:eastAsia="zh-CN"/>
        </w:rPr>
        <w:t>（特殊普通合伙）</w:t>
      </w:r>
      <w:r>
        <w:rPr>
          <w:rFonts w:hint="default" w:ascii="Times New Roman" w:hAnsi="Times New Roman" w:eastAsia="仿宋_GB2312" w:cs="Times New Roman"/>
          <w:sz w:val="30"/>
          <w:szCs w:val="30"/>
          <w:highlight w:val="none"/>
        </w:rPr>
        <w:t>审计，并出具了标准无保留意见审计报告。</w:t>
      </w:r>
    </w:p>
    <w:p>
      <w:pPr>
        <w:pStyle w:val="6"/>
        <w:rPr>
          <w:rFonts w:hint="eastAsia"/>
          <w:lang w:eastAsia="zh-CN"/>
        </w:rPr>
      </w:pPr>
    </w:p>
    <w:p/>
    <w:p>
      <w:pPr>
        <w:pStyle w:val="2"/>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46905F"/>
    <w:multiLevelType w:val="singleLevel"/>
    <w:tmpl w:val="E046905F"/>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E2D48"/>
    <w:rsid w:val="000050A6"/>
    <w:rsid w:val="00051A02"/>
    <w:rsid w:val="000919F6"/>
    <w:rsid w:val="000E6577"/>
    <w:rsid w:val="001120B3"/>
    <w:rsid w:val="00124D7E"/>
    <w:rsid w:val="00143FBC"/>
    <w:rsid w:val="001816E4"/>
    <w:rsid w:val="002A6F8D"/>
    <w:rsid w:val="002E543A"/>
    <w:rsid w:val="00333F09"/>
    <w:rsid w:val="00427C9A"/>
    <w:rsid w:val="004B3C8A"/>
    <w:rsid w:val="004F24A0"/>
    <w:rsid w:val="005126B3"/>
    <w:rsid w:val="00532A2C"/>
    <w:rsid w:val="0057022D"/>
    <w:rsid w:val="00644286"/>
    <w:rsid w:val="007E6B63"/>
    <w:rsid w:val="00815AFC"/>
    <w:rsid w:val="008322FF"/>
    <w:rsid w:val="008629C8"/>
    <w:rsid w:val="00871340"/>
    <w:rsid w:val="008D5DB3"/>
    <w:rsid w:val="009671E4"/>
    <w:rsid w:val="009A1B4D"/>
    <w:rsid w:val="009C0C90"/>
    <w:rsid w:val="009C2A91"/>
    <w:rsid w:val="00A62D76"/>
    <w:rsid w:val="00AE6C4C"/>
    <w:rsid w:val="00C669E2"/>
    <w:rsid w:val="00C8439E"/>
    <w:rsid w:val="00E72DA6"/>
    <w:rsid w:val="00ED00A0"/>
    <w:rsid w:val="00EF1737"/>
    <w:rsid w:val="00F51B73"/>
    <w:rsid w:val="00FA7F9F"/>
    <w:rsid w:val="00FC5FF7"/>
    <w:rsid w:val="01053DB2"/>
    <w:rsid w:val="010A044B"/>
    <w:rsid w:val="0110505C"/>
    <w:rsid w:val="011849B2"/>
    <w:rsid w:val="011D307F"/>
    <w:rsid w:val="011E6499"/>
    <w:rsid w:val="013F0538"/>
    <w:rsid w:val="01514986"/>
    <w:rsid w:val="015A42BF"/>
    <w:rsid w:val="0167572F"/>
    <w:rsid w:val="016D7219"/>
    <w:rsid w:val="01714C3E"/>
    <w:rsid w:val="01730DA4"/>
    <w:rsid w:val="017E76AE"/>
    <w:rsid w:val="01A15BD6"/>
    <w:rsid w:val="01AB2A08"/>
    <w:rsid w:val="01AF17B8"/>
    <w:rsid w:val="01B368C8"/>
    <w:rsid w:val="01B75752"/>
    <w:rsid w:val="01C348E8"/>
    <w:rsid w:val="01C92179"/>
    <w:rsid w:val="01CA2B52"/>
    <w:rsid w:val="01CF4CEA"/>
    <w:rsid w:val="01D02E5B"/>
    <w:rsid w:val="01E773D0"/>
    <w:rsid w:val="01E97E48"/>
    <w:rsid w:val="01EA46C8"/>
    <w:rsid w:val="01ED484B"/>
    <w:rsid w:val="01EF09DE"/>
    <w:rsid w:val="01EF37FC"/>
    <w:rsid w:val="01F35BF1"/>
    <w:rsid w:val="01F54BEA"/>
    <w:rsid w:val="01F670AD"/>
    <w:rsid w:val="01F7375C"/>
    <w:rsid w:val="020C4ECE"/>
    <w:rsid w:val="02191EA1"/>
    <w:rsid w:val="021E0788"/>
    <w:rsid w:val="022E3677"/>
    <w:rsid w:val="0231338F"/>
    <w:rsid w:val="023727D1"/>
    <w:rsid w:val="02390AC7"/>
    <w:rsid w:val="023F7F57"/>
    <w:rsid w:val="02444ECC"/>
    <w:rsid w:val="02450438"/>
    <w:rsid w:val="024A219A"/>
    <w:rsid w:val="024C3596"/>
    <w:rsid w:val="026C0181"/>
    <w:rsid w:val="0271159C"/>
    <w:rsid w:val="027A1EE7"/>
    <w:rsid w:val="02853B67"/>
    <w:rsid w:val="02906692"/>
    <w:rsid w:val="02907AD9"/>
    <w:rsid w:val="029925D6"/>
    <w:rsid w:val="029D74DF"/>
    <w:rsid w:val="02AC6DFF"/>
    <w:rsid w:val="02B25256"/>
    <w:rsid w:val="02B31D61"/>
    <w:rsid w:val="02C9104A"/>
    <w:rsid w:val="02CD0512"/>
    <w:rsid w:val="02D21941"/>
    <w:rsid w:val="02E67B65"/>
    <w:rsid w:val="02EB10F1"/>
    <w:rsid w:val="0308668B"/>
    <w:rsid w:val="0335636D"/>
    <w:rsid w:val="034626F6"/>
    <w:rsid w:val="034B5A57"/>
    <w:rsid w:val="034C5D55"/>
    <w:rsid w:val="0353680E"/>
    <w:rsid w:val="035A5D8D"/>
    <w:rsid w:val="03620A1D"/>
    <w:rsid w:val="03632E76"/>
    <w:rsid w:val="036F2E0A"/>
    <w:rsid w:val="03964825"/>
    <w:rsid w:val="039A0429"/>
    <w:rsid w:val="03A064A6"/>
    <w:rsid w:val="03A128E0"/>
    <w:rsid w:val="03A46152"/>
    <w:rsid w:val="03AC1C9B"/>
    <w:rsid w:val="03AE5768"/>
    <w:rsid w:val="03B90955"/>
    <w:rsid w:val="03BE5586"/>
    <w:rsid w:val="03C64E25"/>
    <w:rsid w:val="03CE3778"/>
    <w:rsid w:val="03D2565D"/>
    <w:rsid w:val="03D7644D"/>
    <w:rsid w:val="03E35BE9"/>
    <w:rsid w:val="03E7248A"/>
    <w:rsid w:val="03ED440D"/>
    <w:rsid w:val="03EF0425"/>
    <w:rsid w:val="03F17369"/>
    <w:rsid w:val="03F30427"/>
    <w:rsid w:val="040B2276"/>
    <w:rsid w:val="04126165"/>
    <w:rsid w:val="041421C6"/>
    <w:rsid w:val="04191F87"/>
    <w:rsid w:val="042909BD"/>
    <w:rsid w:val="0430052E"/>
    <w:rsid w:val="04301AF0"/>
    <w:rsid w:val="043031F6"/>
    <w:rsid w:val="04316E72"/>
    <w:rsid w:val="043349BF"/>
    <w:rsid w:val="043866B6"/>
    <w:rsid w:val="04433CE7"/>
    <w:rsid w:val="04632E60"/>
    <w:rsid w:val="04647E3A"/>
    <w:rsid w:val="046A1C72"/>
    <w:rsid w:val="04883CCA"/>
    <w:rsid w:val="048F2E48"/>
    <w:rsid w:val="04975852"/>
    <w:rsid w:val="04AF4550"/>
    <w:rsid w:val="04B127C7"/>
    <w:rsid w:val="04B701B5"/>
    <w:rsid w:val="04B94257"/>
    <w:rsid w:val="04C151AB"/>
    <w:rsid w:val="04CA37E7"/>
    <w:rsid w:val="04CC73B4"/>
    <w:rsid w:val="04D04135"/>
    <w:rsid w:val="04D13C8A"/>
    <w:rsid w:val="04D2142A"/>
    <w:rsid w:val="04D86F4E"/>
    <w:rsid w:val="04DE2C29"/>
    <w:rsid w:val="04E465F6"/>
    <w:rsid w:val="04E759DD"/>
    <w:rsid w:val="04EA7C7D"/>
    <w:rsid w:val="050B2C4D"/>
    <w:rsid w:val="05111324"/>
    <w:rsid w:val="0527181B"/>
    <w:rsid w:val="05274990"/>
    <w:rsid w:val="052A267F"/>
    <w:rsid w:val="05362446"/>
    <w:rsid w:val="05424660"/>
    <w:rsid w:val="0554166B"/>
    <w:rsid w:val="05557DA5"/>
    <w:rsid w:val="056566B1"/>
    <w:rsid w:val="057E59E1"/>
    <w:rsid w:val="058001A2"/>
    <w:rsid w:val="058833E1"/>
    <w:rsid w:val="058B55B5"/>
    <w:rsid w:val="0590331C"/>
    <w:rsid w:val="059D0FF7"/>
    <w:rsid w:val="05A10FB4"/>
    <w:rsid w:val="05A256A4"/>
    <w:rsid w:val="05AB3BA4"/>
    <w:rsid w:val="05AE174A"/>
    <w:rsid w:val="05B65FE4"/>
    <w:rsid w:val="05C57095"/>
    <w:rsid w:val="05DC252D"/>
    <w:rsid w:val="05E170C5"/>
    <w:rsid w:val="05E44489"/>
    <w:rsid w:val="05F1617F"/>
    <w:rsid w:val="05F62FAA"/>
    <w:rsid w:val="060025CF"/>
    <w:rsid w:val="0608407D"/>
    <w:rsid w:val="060E5AB2"/>
    <w:rsid w:val="061D2F2C"/>
    <w:rsid w:val="062C228F"/>
    <w:rsid w:val="062F37B7"/>
    <w:rsid w:val="06310F83"/>
    <w:rsid w:val="06317E8C"/>
    <w:rsid w:val="06322789"/>
    <w:rsid w:val="063C6C0D"/>
    <w:rsid w:val="063F3FE4"/>
    <w:rsid w:val="06425380"/>
    <w:rsid w:val="06491F4E"/>
    <w:rsid w:val="064B1C97"/>
    <w:rsid w:val="06515C4C"/>
    <w:rsid w:val="0652400F"/>
    <w:rsid w:val="06582917"/>
    <w:rsid w:val="065A79E8"/>
    <w:rsid w:val="0665191E"/>
    <w:rsid w:val="06705D0A"/>
    <w:rsid w:val="06822B0F"/>
    <w:rsid w:val="06837729"/>
    <w:rsid w:val="06850738"/>
    <w:rsid w:val="06862CAD"/>
    <w:rsid w:val="068A1FA0"/>
    <w:rsid w:val="06A37AD5"/>
    <w:rsid w:val="06A83F06"/>
    <w:rsid w:val="06B861D3"/>
    <w:rsid w:val="06BF792F"/>
    <w:rsid w:val="06CD260B"/>
    <w:rsid w:val="06D002D3"/>
    <w:rsid w:val="06D647E0"/>
    <w:rsid w:val="06DE0BDC"/>
    <w:rsid w:val="06FC512C"/>
    <w:rsid w:val="070279F8"/>
    <w:rsid w:val="07112454"/>
    <w:rsid w:val="07207710"/>
    <w:rsid w:val="072708FD"/>
    <w:rsid w:val="0730495A"/>
    <w:rsid w:val="0734310B"/>
    <w:rsid w:val="07415E50"/>
    <w:rsid w:val="075646EA"/>
    <w:rsid w:val="07606C47"/>
    <w:rsid w:val="076A2CFF"/>
    <w:rsid w:val="077610F4"/>
    <w:rsid w:val="07807C29"/>
    <w:rsid w:val="079A58C0"/>
    <w:rsid w:val="07A52A56"/>
    <w:rsid w:val="07B51458"/>
    <w:rsid w:val="07B97D29"/>
    <w:rsid w:val="07C73493"/>
    <w:rsid w:val="07D04A4A"/>
    <w:rsid w:val="07D13149"/>
    <w:rsid w:val="07D51434"/>
    <w:rsid w:val="07D87A40"/>
    <w:rsid w:val="07DB275E"/>
    <w:rsid w:val="07DB6B12"/>
    <w:rsid w:val="07E018B6"/>
    <w:rsid w:val="07E670E9"/>
    <w:rsid w:val="07ED0F4C"/>
    <w:rsid w:val="07F61AC1"/>
    <w:rsid w:val="07FB1763"/>
    <w:rsid w:val="08063E27"/>
    <w:rsid w:val="080832CE"/>
    <w:rsid w:val="080A7CE7"/>
    <w:rsid w:val="080F3B8A"/>
    <w:rsid w:val="08113E7A"/>
    <w:rsid w:val="08120CF1"/>
    <w:rsid w:val="08166A9B"/>
    <w:rsid w:val="08290317"/>
    <w:rsid w:val="082B330B"/>
    <w:rsid w:val="083358E5"/>
    <w:rsid w:val="083856BE"/>
    <w:rsid w:val="083F3404"/>
    <w:rsid w:val="08461573"/>
    <w:rsid w:val="084829AE"/>
    <w:rsid w:val="084F03FC"/>
    <w:rsid w:val="085412DB"/>
    <w:rsid w:val="085F0522"/>
    <w:rsid w:val="08646946"/>
    <w:rsid w:val="086E0525"/>
    <w:rsid w:val="087D1192"/>
    <w:rsid w:val="08861435"/>
    <w:rsid w:val="088B369F"/>
    <w:rsid w:val="089018D4"/>
    <w:rsid w:val="08A81315"/>
    <w:rsid w:val="08AD316E"/>
    <w:rsid w:val="08BD7372"/>
    <w:rsid w:val="08C5480E"/>
    <w:rsid w:val="08CD23C1"/>
    <w:rsid w:val="08D12680"/>
    <w:rsid w:val="08DD3A70"/>
    <w:rsid w:val="08E376A6"/>
    <w:rsid w:val="08EB0B36"/>
    <w:rsid w:val="08EB4AFF"/>
    <w:rsid w:val="08F154BC"/>
    <w:rsid w:val="08FE09E1"/>
    <w:rsid w:val="09056407"/>
    <w:rsid w:val="09102DD8"/>
    <w:rsid w:val="09170FFB"/>
    <w:rsid w:val="091B59B6"/>
    <w:rsid w:val="091E5409"/>
    <w:rsid w:val="09272D4E"/>
    <w:rsid w:val="092A395E"/>
    <w:rsid w:val="092E5B5E"/>
    <w:rsid w:val="092F708D"/>
    <w:rsid w:val="093A4F4E"/>
    <w:rsid w:val="093B1D14"/>
    <w:rsid w:val="093B685C"/>
    <w:rsid w:val="093E69C3"/>
    <w:rsid w:val="09485EC9"/>
    <w:rsid w:val="094D233D"/>
    <w:rsid w:val="094E03CD"/>
    <w:rsid w:val="0961271A"/>
    <w:rsid w:val="096178E8"/>
    <w:rsid w:val="096C4FEC"/>
    <w:rsid w:val="097359B3"/>
    <w:rsid w:val="097B6BC5"/>
    <w:rsid w:val="099665E2"/>
    <w:rsid w:val="09A348C3"/>
    <w:rsid w:val="09A87DB6"/>
    <w:rsid w:val="09B7580E"/>
    <w:rsid w:val="09C603F5"/>
    <w:rsid w:val="09CA07E9"/>
    <w:rsid w:val="09DD2489"/>
    <w:rsid w:val="09E311B4"/>
    <w:rsid w:val="09E74EB6"/>
    <w:rsid w:val="09FD6555"/>
    <w:rsid w:val="0A020827"/>
    <w:rsid w:val="0A1A00C1"/>
    <w:rsid w:val="0A26383C"/>
    <w:rsid w:val="0A292D48"/>
    <w:rsid w:val="0A310EF0"/>
    <w:rsid w:val="0A3D04D3"/>
    <w:rsid w:val="0A405EE4"/>
    <w:rsid w:val="0A5513A5"/>
    <w:rsid w:val="0A683A11"/>
    <w:rsid w:val="0A6B4944"/>
    <w:rsid w:val="0A6B795B"/>
    <w:rsid w:val="0A7E5AC6"/>
    <w:rsid w:val="0A7F5A4F"/>
    <w:rsid w:val="0A822C04"/>
    <w:rsid w:val="0A865ACC"/>
    <w:rsid w:val="0A8A6741"/>
    <w:rsid w:val="0A9B02BE"/>
    <w:rsid w:val="0A9E2F12"/>
    <w:rsid w:val="0AA963EE"/>
    <w:rsid w:val="0AAC130B"/>
    <w:rsid w:val="0AB71B9F"/>
    <w:rsid w:val="0ABD5B27"/>
    <w:rsid w:val="0AD30722"/>
    <w:rsid w:val="0AD715A6"/>
    <w:rsid w:val="0AD86B66"/>
    <w:rsid w:val="0ADB257F"/>
    <w:rsid w:val="0AE36C0B"/>
    <w:rsid w:val="0AF92487"/>
    <w:rsid w:val="0B017046"/>
    <w:rsid w:val="0B087794"/>
    <w:rsid w:val="0B1216A5"/>
    <w:rsid w:val="0B267D11"/>
    <w:rsid w:val="0B27695C"/>
    <w:rsid w:val="0B2E2017"/>
    <w:rsid w:val="0B4208EA"/>
    <w:rsid w:val="0B4A22D4"/>
    <w:rsid w:val="0B4B7F63"/>
    <w:rsid w:val="0B5B6FE5"/>
    <w:rsid w:val="0B5D0627"/>
    <w:rsid w:val="0B6655AE"/>
    <w:rsid w:val="0B6876A4"/>
    <w:rsid w:val="0B786CAC"/>
    <w:rsid w:val="0B952634"/>
    <w:rsid w:val="0BA23F11"/>
    <w:rsid w:val="0BA54FE3"/>
    <w:rsid w:val="0BAF176A"/>
    <w:rsid w:val="0BBB77CE"/>
    <w:rsid w:val="0BD8756F"/>
    <w:rsid w:val="0BD92037"/>
    <w:rsid w:val="0BD94BCF"/>
    <w:rsid w:val="0BE23A5A"/>
    <w:rsid w:val="0BE3682E"/>
    <w:rsid w:val="0BE5786A"/>
    <w:rsid w:val="0BE85812"/>
    <w:rsid w:val="0BF4453F"/>
    <w:rsid w:val="0C013C8A"/>
    <w:rsid w:val="0C040999"/>
    <w:rsid w:val="0C087A17"/>
    <w:rsid w:val="0C0C38B3"/>
    <w:rsid w:val="0C150AF6"/>
    <w:rsid w:val="0C1862A4"/>
    <w:rsid w:val="0C3F750E"/>
    <w:rsid w:val="0C3F76D9"/>
    <w:rsid w:val="0C48348A"/>
    <w:rsid w:val="0C5B740A"/>
    <w:rsid w:val="0C5E1387"/>
    <w:rsid w:val="0C5F7831"/>
    <w:rsid w:val="0C63012E"/>
    <w:rsid w:val="0C653B26"/>
    <w:rsid w:val="0C654B32"/>
    <w:rsid w:val="0C6A7181"/>
    <w:rsid w:val="0C6F5FA8"/>
    <w:rsid w:val="0C7A67AA"/>
    <w:rsid w:val="0C7D6192"/>
    <w:rsid w:val="0C8551FF"/>
    <w:rsid w:val="0C8F0BB0"/>
    <w:rsid w:val="0C9148F7"/>
    <w:rsid w:val="0C946A64"/>
    <w:rsid w:val="0C966CC6"/>
    <w:rsid w:val="0CA52C42"/>
    <w:rsid w:val="0CAB6920"/>
    <w:rsid w:val="0CAD3F54"/>
    <w:rsid w:val="0CB2026D"/>
    <w:rsid w:val="0CB55B63"/>
    <w:rsid w:val="0CB5776F"/>
    <w:rsid w:val="0CC473E7"/>
    <w:rsid w:val="0CC67703"/>
    <w:rsid w:val="0CC960FE"/>
    <w:rsid w:val="0CD06022"/>
    <w:rsid w:val="0CE0792F"/>
    <w:rsid w:val="0CE53A43"/>
    <w:rsid w:val="0CE611D7"/>
    <w:rsid w:val="0CF04417"/>
    <w:rsid w:val="0CF939F2"/>
    <w:rsid w:val="0CFB5E78"/>
    <w:rsid w:val="0CFF583A"/>
    <w:rsid w:val="0D16673E"/>
    <w:rsid w:val="0D1E6705"/>
    <w:rsid w:val="0D286016"/>
    <w:rsid w:val="0D3267F6"/>
    <w:rsid w:val="0D344396"/>
    <w:rsid w:val="0D403BBD"/>
    <w:rsid w:val="0D4407FA"/>
    <w:rsid w:val="0D457FC9"/>
    <w:rsid w:val="0D503A1A"/>
    <w:rsid w:val="0D5764C6"/>
    <w:rsid w:val="0D6F1981"/>
    <w:rsid w:val="0D7357B4"/>
    <w:rsid w:val="0D7474FA"/>
    <w:rsid w:val="0D871B52"/>
    <w:rsid w:val="0D896513"/>
    <w:rsid w:val="0DA87A1A"/>
    <w:rsid w:val="0DAB5015"/>
    <w:rsid w:val="0DC372FD"/>
    <w:rsid w:val="0DC51334"/>
    <w:rsid w:val="0DC96CB9"/>
    <w:rsid w:val="0DCE379D"/>
    <w:rsid w:val="0DCF1F3D"/>
    <w:rsid w:val="0DD265D5"/>
    <w:rsid w:val="0DD656B9"/>
    <w:rsid w:val="0DD70128"/>
    <w:rsid w:val="0DDA2E2A"/>
    <w:rsid w:val="0DDC2207"/>
    <w:rsid w:val="0DDD79CF"/>
    <w:rsid w:val="0DEC2B96"/>
    <w:rsid w:val="0DFC5025"/>
    <w:rsid w:val="0DFD240A"/>
    <w:rsid w:val="0DFD5D49"/>
    <w:rsid w:val="0E0E048C"/>
    <w:rsid w:val="0E1E0C9F"/>
    <w:rsid w:val="0E2005E0"/>
    <w:rsid w:val="0E2232D9"/>
    <w:rsid w:val="0E2827FB"/>
    <w:rsid w:val="0E306A2F"/>
    <w:rsid w:val="0E3732EB"/>
    <w:rsid w:val="0E3F52D4"/>
    <w:rsid w:val="0E47230A"/>
    <w:rsid w:val="0E4C51A4"/>
    <w:rsid w:val="0E4D6788"/>
    <w:rsid w:val="0E4F7B9F"/>
    <w:rsid w:val="0E5B6577"/>
    <w:rsid w:val="0E632CC5"/>
    <w:rsid w:val="0E685286"/>
    <w:rsid w:val="0E695AF1"/>
    <w:rsid w:val="0E9777D1"/>
    <w:rsid w:val="0EA26BFD"/>
    <w:rsid w:val="0EC06D2F"/>
    <w:rsid w:val="0EC147D9"/>
    <w:rsid w:val="0ECD66DA"/>
    <w:rsid w:val="0ED256F5"/>
    <w:rsid w:val="0EDB38F0"/>
    <w:rsid w:val="0EE46FAF"/>
    <w:rsid w:val="0EE94CBE"/>
    <w:rsid w:val="0EF434E2"/>
    <w:rsid w:val="0EF9670F"/>
    <w:rsid w:val="0EFE3B15"/>
    <w:rsid w:val="0F0424A3"/>
    <w:rsid w:val="0F06589C"/>
    <w:rsid w:val="0F0C2B69"/>
    <w:rsid w:val="0F1C13FC"/>
    <w:rsid w:val="0F227782"/>
    <w:rsid w:val="0F2477E9"/>
    <w:rsid w:val="0F31741F"/>
    <w:rsid w:val="0F3229DA"/>
    <w:rsid w:val="0F3A1AEA"/>
    <w:rsid w:val="0F567373"/>
    <w:rsid w:val="0F5B011F"/>
    <w:rsid w:val="0F6C0DB6"/>
    <w:rsid w:val="0F6C239E"/>
    <w:rsid w:val="0F715ED1"/>
    <w:rsid w:val="0F7A2032"/>
    <w:rsid w:val="0F8263F2"/>
    <w:rsid w:val="0F8512FA"/>
    <w:rsid w:val="0FB11FFB"/>
    <w:rsid w:val="0FB27C98"/>
    <w:rsid w:val="0FBE427C"/>
    <w:rsid w:val="0FCB5110"/>
    <w:rsid w:val="0FD435E2"/>
    <w:rsid w:val="0FDF474C"/>
    <w:rsid w:val="0FEA7EE4"/>
    <w:rsid w:val="0FF469BF"/>
    <w:rsid w:val="0FFB3360"/>
    <w:rsid w:val="0FFB733B"/>
    <w:rsid w:val="10016B47"/>
    <w:rsid w:val="100771D3"/>
    <w:rsid w:val="10082F9A"/>
    <w:rsid w:val="10166366"/>
    <w:rsid w:val="102B1A94"/>
    <w:rsid w:val="103343C3"/>
    <w:rsid w:val="10351C1C"/>
    <w:rsid w:val="1039095A"/>
    <w:rsid w:val="1047476D"/>
    <w:rsid w:val="10487EB5"/>
    <w:rsid w:val="10531812"/>
    <w:rsid w:val="10551051"/>
    <w:rsid w:val="105665BA"/>
    <w:rsid w:val="105C4799"/>
    <w:rsid w:val="1068674C"/>
    <w:rsid w:val="106A6F24"/>
    <w:rsid w:val="106C00DF"/>
    <w:rsid w:val="106F2741"/>
    <w:rsid w:val="107101BC"/>
    <w:rsid w:val="107E0B40"/>
    <w:rsid w:val="10842E91"/>
    <w:rsid w:val="10896929"/>
    <w:rsid w:val="10B65C50"/>
    <w:rsid w:val="10B9233C"/>
    <w:rsid w:val="10C129CB"/>
    <w:rsid w:val="10C45A29"/>
    <w:rsid w:val="10CD3428"/>
    <w:rsid w:val="10D02F04"/>
    <w:rsid w:val="10DD4C2D"/>
    <w:rsid w:val="10F87986"/>
    <w:rsid w:val="110B3B65"/>
    <w:rsid w:val="11141F3A"/>
    <w:rsid w:val="11204FF0"/>
    <w:rsid w:val="11235CAF"/>
    <w:rsid w:val="1135311E"/>
    <w:rsid w:val="1135644B"/>
    <w:rsid w:val="11377E30"/>
    <w:rsid w:val="113D012D"/>
    <w:rsid w:val="11436D77"/>
    <w:rsid w:val="1143741D"/>
    <w:rsid w:val="114B111F"/>
    <w:rsid w:val="11545DB3"/>
    <w:rsid w:val="1159290E"/>
    <w:rsid w:val="115A0DBA"/>
    <w:rsid w:val="115B4901"/>
    <w:rsid w:val="115C64BB"/>
    <w:rsid w:val="116940BB"/>
    <w:rsid w:val="1176010B"/>
    <w:rsid w:val="1180001C"/>
    <w:rsid w:val="118C24C5"/>
    <w:rsid w:val="119C3FF9"/>
    <w:rsid w:val="11B066B5"/>
    <w:rsid w:val="11B61AA2"/>
    <w:rsid w:val="11BC539E"/>
    <w:rsid w:val="11BD7540"/>
    <w:rsid w:val="11C02458"/>
    <w:rsid w:val="11C17AE3"/>
    <w:rsid w:val="11DA7407"/>
    <w:rsid w:val="11EB3CEA"/>
    <w:rsid w:val="11F147EA"/>
    <w:rsid w:val="11F20095"/>
    <w:rsid w:val="11F755BB"/>
    <w:rsid w:val="11F75C05"/>
    <w:rsid w:val="120B35ED"/>
    <w:rsid w:val="1212231A"/>
    <w:rsid w:val="12225340"/>
    <w:rsid w:val="122D52DA"/>
    <w:rsid w:val="123A7862"/>
    <w:rsid w:val="12403D7E"/>
    <w:rsid w:val="1242612C"/>
    <w:rsid w:val="12500CD3"/>
    <w:rsid w:val="1255064D"/>
    <w:rsid w:val="125F11FB"/>
    <w:rsid w:val="12640D32"/>
    <w:rsid w:val="126D7689"/>
    <w:rsid w:val="126E70FD"/>
    <w:rsid w:val="12706E95"/>
    <w:rsid w:val="12740F77"/>
    <w:rsid w:val="12775E3E"/>
    <w:rsid w:val="1278278F"/>
    <w:rsid w:val="128010A7"/>
    <w:rsid w:val="12802914"/>
    <w:rsid w:val="12842241"/>
    <w:rsid w:val="12883FB4"/>
    <w:rsid w:val="128B5323"/>
    <w:rsid w:val="128C1652"/>
    <w:rsid w:val="128D6B8F"/>
    <w:rsid w:val="129B51F5"/>
    <w:rsid w:val="129D0868"/>
    <w:rsid w:val="12AA08F3"/>
    <w:rsid w:val="12AC2CA8"/>
    <w:rsid w:val="12AC7BFA"/>
    <w:rsid w:val="12AD2E32"/>
    <w:rsid w:val="12B062E3"/>
    <w:rsid w:val="12BA53A7"/>
    <w:rsid w:val="12C829E7"/>
    <w:rsid w:val="12DC594F"/>
    <w:rsid w:val="12DD776E"/>
    <w:rsid w:val="12E14EED"/>
    <w:rsid w:val="12E27EDA"/>
    <w:rsid w:val="12EB619F"/>
    <w:rsid w:val="12F508E6"/>
    <w:rsid w:val="13055C8F"/>
    <w:rsid w:val="130F4B88"/>
    <w:rsid w:val="131308DE"/>
    <w:rsid w:val="13160616"/>
    <w:rsid w:val="131E1B25"/>
    <w:rsid w:val="13224882"/>
    <w:rsid w:val="1325157E"/>
    <w:rsid w:val="134B2661"/>
    <w:rsid w:val="13535630"/>
    <w:rsid w:val="1354593A"/>
    <w:rsid w:val="136A4128"/>
    <w:rsid w:val="136A51FB"/>
    <w:rsid w:val="13810AB1"/>
    <w:rsid w:val="13844E73"/>
    <w:rsid w:val="138809EC"/>
    <w:rsid w:val="13887C1F"/>
    <w:rsid w:val="139417C6"/>
    <w:rsid w:val="13A810D3"/>
    <w:rsid w:val="13B02E47"/>
    <w:rsid w:val="13B23EA9"/>
    <w:rsid w:val="13B8185E"/>
    <w:rsid w:val="13BC25D7"/>
    <w:rsid w:val="13CA476F"/>
    <w:rsid w:val="13DC2BA2"/>
    <w:rsid w:val="13E71F1F"/>
    <w:rsid w:val="13EE7BE3"/>
    <w:rsid w:val="13F123E9"/>
    <w:rsid w:val="13F43A8C"/>
    <w:rsid w:val="13F93418"/>
    <w:rsid w:val="13F93B15"/>
    <w:rsid w:val="14081515"/>
    <w:rsid w:val="141A61DF"/>
    <w:rsid w:val="14224D78"/>
    <w:rsid w:val="14327D9C"/>
    <w:rsid w:val="14451269"/>
    <w:rsid w:val="144E6739"/>
    <w:rsid w:val="145727FF"/>
    <w:rsid w:val="14635FC7"/>
    <w:rsid w:val="146C0995"/>
    <w:rsid w:val="146C7E13"/>
    <w:rsid w:val="146D5390"/>
    <w:rsid w:val="146D7B20"/>
    <w:rsid w:val="147D3F44"/>
    <w:rsid w:val="14813D24"/>
    <w:rsid w:val="148E5C85"/>
    <w:rsid w:val="14901964"/>
    <w:rsid w:val="1494748D"/>
    <w:rsid w:val="14A75A96"/>
    <w:rsid w:val="14B0364D"/>
    <w:rsid w:val="14B1733B"/>
    <w:rsid w:val="14BC3557"/>
    <w:rsid w:val="14BD0435"/>
    <w:rsid w:val="14DD3401"/>
    <w:rsid w:val="14DE155F"/>
    <w:rsid w:val="14E869E6"/>
    <w:rsid w:val="14F66D6B"/>
    <w:rsid w:val="150135D3"/>
    <w:rsid w:val="151130A3"/>
    <w:rsid w:val="1514485C"/>
    <w:rsid w:val="15165650"/>
    <w:rsid w:val="1519604C"/>
    <w:rsid w:val="15280E5B"/>
    <w:rsid w:val="15342CFC"/>
    <w:rsid w:val="153B3374"/>
    <w:rsid w:val="154319A1"/>
    <w:rsid w:val="154417B7"/>
    <w:rsid w:val="154B3EBF"/>
    <w:rsid w:val="154F2FD7"/>
    <w:rsid w:val="15587310"/>
    <w:rsid w:val="15590C76"/>
    <w:rsid w:val="15645DCB"/>
    <w:rsid w:val="156F57FD"/>
    <w:rsid w:val="157E335E"/>
    <w:rsid w:val="15810B79"/>
    <w:rsid w:val="158245E9"/>
    <w:rsid w:val="158C79CD"/>
    <w:rsid w:val="158E4344"/>
    <w:rsid w:val="159A3B00"/>
    <w:rsid w:val="15A46521"/>
    <w:rsid w:val="15B034AA"/>
    <w:rsid w:val="15C37BF1"/>
    <w:rsid w:val="15CA66F5"/>
    <w:rsid w:val="15CF1C6F"/>
    <w:rsid w:val="15D55FF2"/>
    <w:rsid w:val="15D80983"/>
    <w:rsid w:val="15DB34EE"/>
    <w:rsid w:val="15E714A4"/>
    <w:rsid w:val="15FA163C"/>
    <w:rsid w:val="160155B9"/>
    <w:rsid w:val="1603179D"/>
    <w:rsid w:val="1604693C"/>
    <w:rsid w:val="161E4534"/>
    <w:rsid w:val="1621645B"/>
    <w:rsid w:val="16246C77"/>
    <w:rsid w:val="162B4503"/>
    <w:rsid w:val="162C6931"/>
    <w:rsid w:val="162E532D"/>
    <w:rsid w:val="162F3898"/>
    <w:rsid w:val="1630453F"/>
    <w:rsid w:val="16342031"/>
    <w:rsid w:val="163C28CF"/>
    <w:rsid w:val="16464D5A"/>
    <w:rsid w:val="16512557"/>
    <w:rsid w:val="16554D92"/>
    <w:rsid w:val="16591DDE"/>
    <w:rsid w:val="165F4CD5"/>
    <w:rsid w:val="166400A2"/>
    <w:rsid w:val="166850D0"/>
    <w:rsid w:val="166D6A17"/>
    <w:rsid w:val="1672719E"/>
    <w:rsid w:val="16785EAE"/>
    <w:rsid w:val="167D56C7"/>
    <w:rsid w:val="167D5ABA"/>
    <w:rsid w:val="168200D7"/>
    <w:rsid w:val="168C1F86"/>
    <w:rsid w:val="168D7800"/>
    <w:rsid w:val="168E7CF6"/>
    <w:rsid w:val="16903AC0"/>
    <w:rsid w:val="1691731B"/>
    <w:rsid w:val="169A03F9"/>
    <w:rsid w:val="169B5870"/>
    <w:rsid w:val="16A277DC"/>
    <w:rsid w:val="16B806F8"/>
    <w:rsid w:val="16D16A29"/>
    <w:rsid w:val="16DB6AA3"/>
    <w:rsid w:val="16ED76A5"/>
    <w:rsid w:val="16EF0D8D"/>
    <w:rsid w:val="16F27580"/>
    <w:rsid w:val="16FA71C6"/>
    <w:rsid w:val="16FD7033"/>
    <w:rsid w:val="17011EF9"/>
    <w:rsid w:val="170A3CDA"/>
    <w:rsid w:val="17101103"/>
    <w:rsid w:val="171272DE"/>
    <w:rsid w:val="171A1826"/>
    <w:rsid w:val="171A51DC"/>
    <w:rsid w:val="172027BB"/>
    <w:rsid w:val="17244A33"/>
    <w:rsid w:val="17272BD4"/>
    <w:rsid w:val="1728204E"/>
    <w:rsid w:val="1729737E"/>
    <w:rsid w:val="172A2442"/>
    <w:rsid w:val="172D036F"/>
    <w:rsid w:val="173021B7"/>
    <w:rsid w:val="1738176F"/>
    <w:rsid w:val="17393156"/>
    <w:rsid w:val="17397461"/>
    <w:rsid w:val="173B704C"/>
    <w:rsid w:val="17596D16"/>
    <w:rsid w:val="175A4729"/>
    <w:rsid w:val="175A7BC3"/>
    <w:rsid w:val="17626A9F"/>
    <w:rsid w:val="17655CEE"/>
    <w:rsid w:val="17733282"/>
    <w:rsid w:val="17740508"/>
    <w:rsid w:val="1774726C"/>
    <w:rsid w:val="177614D1"/>
    <w:rsid w:val="17937409"/>
    <w:rsid w:val="179C2BD8"/>
    <w:rsid w:val="17A15B70"/>
    <w:rsid w:val="17A45263"/>
    <w:rsid w:val="17A468FC"/>
    <w:rsid w:val="17AE4394"/>
    <w:rsid w:val="17B17F2C"/>
    <w:rsid w:val="17BA7205"/>
    <w:rsid w:val="17D2268C"/>
    <w:rsid w:val="17DB3FDF"/>
    <w:rsid w:val="17EC58F6"/>
    <w:rsid w:val="17F52A70"/>
    <w:rsid w:val="17F71029"/>
    <w:rsid w:val="17FF30DC"/>
    <w:rsid w:val="18075F80"/>
    <w:rsid w:val="18090C98"/>
    <w:rsid w:val="1819192A"/>
    <w:rsid w:val="181E52AF"/>
    <w:rsid w:val="182A0E32"/>
    <w:rsid w:val="18372864"/>
    <w:rsid w:val="18375BEB"/>
    <w:rsid w:val="183E79E7"/>
    <w:rsid w:val="18444BEA"/>
    <w:rsid w:val="18462D45"/>
    <w:rsid w:val="18463752"/>
    <w:rsid w:val="184D14B0"/>
    <w:rsid w:val="1856510B"/>
    <w:rsid w:val="18591805"/>
    <w:rsid w:val="185E3566"/>
    <w:rsid w:val="18683D45"/>
    <w:rsid w:val="18691D74"/>
    <w:rsid w:val="186A6EB4"/>
    <w:rsid w:val="1876562B"/>
    <w:rsid w:val="187D40DC"/>
    <w:rsid w:val="188C4D37"/>
    <w:rsid w:val="189004AB"/>
    <w:rsid w:val="18905D94"/>
    <w:rsid w:val="189602D2"/>
    <w:rsid w:val="189A7603"/>
    <w:rsid w:val="18AA35B2"/>
    <w:rsid w:val="18B91335"/>
    <w:rsid w:val="18C06C2B"/>
    <w:rsid w:val="18C2111B"/>
    <w:rsid w:val="18C269E9"/>
    <w:rsid w:val="18DB39CC"/>
    <w:rsid w:val="19157A96"/>
    <w:rsid w:val="191E230D"/>
    <w:rsid w:val="19282D1B"/>
    <w:rsid w:val="193A4776"/>
    <w:rsid w:val="194608FF"/>
    <w:rsid w:val="19494920"/>
    <w:rsid w:val="19624E04"/>
    <w:rsid w:val="19634499"/>
    <w:rsid w:val="19702A86"/>
    <w:rsid w:val="1974051C"/>
    <w:rsid w:val="19791568"/>
    <w:rsid w:val="19846404"/>
    <w:rsid w:val="199938B9"/>
    <w:rsid w:val="19A01782"/>
    <w:rsid w:val="19AB0D02"/>
    <w:rsid w:val="19BD759F"/>
    <w:rsid w:val="19C15467"/>
    <w:rsid w:val="19C36DDA"/>
    <w:rsid w:val="19C622DC"/>
    <w:rsid w:val="19CA46C7"/>
    <w:rsid w:val="19D76617"/>
    <w:rsid w:val="19E2199F"/>
    <w:rsid w:val="19E3117C"/>
    <w:rsid w:val="19E47042"/>
    <w:rsid w:val="19E66B62"/>
    <w:rsid w:val="19EE7B87"/>
    <w:rsid w:val="19F203A6"/>
    <w:rsid w:val="19F47108"/>
    <w:rsid w:val="19F5495D"/>
    <w:rsid w:val="19F71DD3"/>
    <w:rsid w:val="19F767E3"/>
    <w:rsid w:val="1A0D2073"/>
    <w:rsid w:val="1A184D38"/>
    <w:rsid w:val="1A37648F"/>
    <w:rsid w:val="1A395CFF"/>
    <w:rsid w:val="1A416849"/>
    <w:rsid w:val="1A440B02"/>
    <w:rsid w:val="1A454418"/>
    <w:rsid w:val="1A4700BF"/>
    <w:rsid w:val="1A5E61B3"/>
    <w:rsid w:val="1A634312"/>
    <w:rsid w:val="1A68007A"/>
    <w:rsid w:val="1A7C5614"/>
    <w:rsid w:val="1A7D4D4C"/>
    <w:rsid w:val="1A885859"/>
    <w:rsid w:val="1A8F2242"/>
    <w:rsid w:val="1A991237"/>
    <w:rsid w:val="1A9E0909"/>
    <w:rsid w:val="1AA55036"/>
    <w:rsid w:val="1AAF6ED9"/>
    <w:rsid w:val="1AB17FBE"/>
    <w:rsid w:val="1ABC5240"/>
    <w:rsid w:val="1ABE4106"/>
    <w:rsid w:val="1AC32E7A"/>
    <w:rsid w:val="1ACD3D28"/>
    <w:rsid w:val="1ACE65B3"/>
    <w:rsid w:val="1AD76213"/>
    <w:rsid w:val="1ADC2E66"/>
    <w:rsid w:val="1ADE4F64"/>
    <w:rsid w:val="1AE72918"/>
    <w:rsid w:val="1AF24809"/>
    <w:rsid w:val="1AF828D7"/>
    <w:rsid w:val="1B025058"/>
    <w:rsid w:val="1B0613E1"/>
    <w:rsid w:val="1B150266"/>
    <w:rsid w:val="1B242B3F"/>
    <w:rsid w:val="1B272708"/>
    <w:rsid w:val="1B2A15E0"/>
    <w:rsid w:val="1B2C2671"/>
    <w:rsid w:val="1B37724E"/>
    <w:rsid w:val="1B3C7ABB"/>
    <w:rsid w:val="1B400916"/>
    <w:rsid w:val="1B417455"/>
    <w:rsid w:val="1B6847DD"/>
    <w:rsid w:val="1B7016B1"/>
    <w:rsid w:val="1B730202"/>
    <w:rsid w:val="1B784D6C"/>
    <w:rsid w:val="1B793CE9"/>
    <w:rsid w:val="1B8528E0"/>
    <w:rsid w:val="1B8C4D5C"/>
    <w:rsid w:val="1B8E6609"/>
    <w:rsid w:val="1B9D1A07"/>
    <w:rsid w:val="1B9E3554"/>
    <w:rsid w:val="1BA6153B"/>
    <w:rsid w:val="1BA72FA2"/>
    <w:rsid w:val="1BB5368A"/>
    <w:rsid w:val="1BBF418B"/>
    <w:rsid w:val="1BC072DB"/>
    <w:rsid w:val="1BDE60D5"/>
    <w:rsid w:val="1BE93920"/>
    <w:rsid w:val="1BF96262"/>
    <w:rsid w:val="1C026FB3"/>
    <w:rsid w:val="1C07130E"/>
    <w:rsid w:val="1C14048C"/>
    <w:rsid w:val="1C2503BF"/>
    <w:rsid w:val="1C2F2381"/>
    <w:rsid w:val="1C3C4434"/>
    <w:rsid w:val="1C423992"/>
    <w:rsid w:val="1C4900E3"/>
    <w:rsid w:val="1C5539DC"/>
    <w:rsid w:val="1C5B2298"/>
    <w:rsid w:val="1C5C6548"/>
    <w:rsid w:val="1C646E50"/>
    <w:rsid w:val="1C792541"/>
    <w:rsid w:val="1C8E0F8A"/>
    <w:rsid w:val="1CA922B8"/>
    <w:rsid w:val="1CA9707F"/>
    <w:rsid w:val="1CAB0A27"/>
    <w:rsid w:val="1CB90A89"/>
    <w:rsid w:val="1CBF0A4A"/>
    <w:rsid w:val="1CCD040E"/>
    <w:rsid w:val="1CD03E3F"/>
    <w:rsid w:val="1CD07C24"/>
    <w:rsid w:val="1CD54090"/>
    <w:rsid w:val="1CD759CE"/>
    <w:rsid w:val="1CDA45D0"/>
    <w:rsid w:val="1CF05C11"/>
    <w:rsid w:val="1D105193"/>
    <w:rsid w:val="1D213C3B"/>
    <w:rsid w:val="1D3201AE"/>
    <w:rsid w:val="1D4114F8"/>
    <w:rsid w:val="1D444755"/>
    <w:rsid w:val="1D44644B"/>
    <w:rsid w:val="1D461CCC"/>
    <w:rsid w:val="1D4D33F4"/>
    <w:rsid w:val="1D4F16B4"/>
    <w:rsid w:val="1D524637"/>
    <w:rsid w:val="1D56065D"/>
    <w:rsid w:val="1D5663DD"/>
    <w:rsid w:val="1D630517"/>
    <w:rsid w:val="1D7A3652"/>
    <w:rsid w:val="1D7B5070"/>
    <w:rsid w:val="1D9D1AE6"/>
    <w:rsid w:val="1DA13895"/>
    <w:rsid w:val="1DAE1331"/>
    <w:rsid w:val="1DBB25CC"/>
    <w:rsid w:val="1DBB7525"/>
    <w:rsid w:val="1DCF5A5A"/>
    <w:rsid w:val="1DE420DE"/>
    <w:rsid w:val="1DF3057C"/>
    <w:rsid w:val="1DF37992"/>
    <w:rsid w:val="1DFB0BA7"/>
    <w:rsid w:val="1E0875D5"/>
    <w:rsid w:val="1E1D21A3"/>
    <w:rsid w:val="1E1F157A"/>
    <w:rsid w:val="1E204728"/>
    <w:rsid w:val="1E231FDF"/>
    <w:rsid w:val="1E2E5C28"/>
    <w:rsid w:val="1E331146"/>
    <w:rsid w:val="1E3D1BE1"/>
    <w:rsid w:val="1E460AB8"/>
    <w:rsid w:val="1E477FC1"/>
    <w:rsid w:val="1E493237"/>
    <w:rsid w:val="1E494E87"/>
    <w:rsid w:val="1E4B127E"/>
    <w:rsid w:val="1E5C4EF0"/>
    <w:rsid w:val="1E5E5082"/>
    <w:rsid w:val="1E6106FE"/>
    <w:rsid w:val="1E63756A"/>
    <w:rsid w:val="1E643DE5"/>
    <w:rsid w:val="1E694BC4"/>
    <w:rsid w:val="1E6D573B"/>
    <w:rsid w:val="1E6E73D3"/>
    <w:rsid w:val="1E7229E4"/>
    <w:rsid w:val="1E787CCC"/>
    <w:rsid w:val="1E7B034A"/>
    <w:rsid w:val="1E7B1720"/>
    <w:rsid w:val="1E8F4D49"/>
    <w:rsid w:val="1E9D1F35"/>
    <w:rsid w:val="1E9D27F7"/>
    <w:rsid w:val="1E9E02C5"/>
    <w:rsid w:val="1EB27A60"/>
    <w:rsid w:val="1EB71AFD"/>
    <w:rsid w:val="1EC11CBE"/>
    <w:rsid w:val="1ED76EE9"/>
    <w:rsid w:val="1F037BB2"/>
    <w:rsid w:val="1F051DF4"/>
    <w:rsid w:val="1F121D73"/>
    <w:rsid w:val="1F1A2095"/>
    <w:rsid w:val="1F1C4A14"/>
    <w:rsid w:val="1F2A42AC"/>
    <w:rsid w:val="1F2A66C3"/>
    <w:rsid w:val="1F2C0745"/>
    <w:rsid w:val="1F2F5D36"/>
    <w:rsid w:val="1F437C7D"/>
    <w:rsid w:val="1F45619F"/>
    <w:rsid w:val="1F51524D"/>
    <w:rsid w:val="1F567822"/>
    <w:rsid w:val="1F5A3543"/>
    <w:rsid w:val="1F6B3656"/>
    <w:rsid w:val="1F885B68"/>
    <w:rsid w:val="1F946160"/>
    <w:rsid w:val="1FAA0F94"/>
    <w:rsid w:val="1FC93E1D"/>
    <w:rsid w:val="1FD15073"/>
    <w:rsid w:val="1FDC4FC2"/>
    <w:rsid w:val="1FE14BF2"/>
    <w:rsid w:val="1FE96875"/>
    <w:rsid w:val="1FF331B3"/>
    <w:rsid w:val="20015F3A"/>
    <w:rsid w:val="20016280"/>
    <w:rsid w:val="200A2E2D"/>
    <w:rsid w:val="2016572F"/>
    <w:rsid w:val="20173973"/>
    <w:rsid w:val="20183F0F"/>
    <w:rsid w:val="201A7D15"/>
    <w:rsid w:val="201E47A8"/>
    <w:rsid w:val="202F44B6"/>
    <w:rsid w:val="20345F47"/>
    <w:rsid w:val="20373A3F"/>
    <w:rsid w:val="20377C48"/>
    <w:rsid w:val="203A5ADD"/>
    <w:rsid w:val="203F46DA"/>
    <w:rsid w:val="20506B63"/>
    <w:rsid w:val="20525015"/>
    <w:rsid w:val="20597A56"/>
    <w:rsid w:val="205E527E"/>
    <w:rsid w:val="206F522B"/>
    <w:rsid w:val="2083371E"/>
    <w:rsid w:val="208F4D31"/>
    <w:rsid w:val="20A576F9"/>
    <w:rsid w:val="20A877EF"/>
    <w:rsid w:val="20B22B7D"/>
    <w:rsid w:val="20B3443D"/>
    <w:rsid w:val="20B47001"/>
    <w:rsid w:val="20B63B6C"/>
    <w:rsid w:val="20B8109B"/>
    <w:rsid w:val="20BD2532"/>
    <w:rsid w:val="20D56821"/>
    <w:rsid w:val="20DE29FD"/>
    <w:rsid w:val="20E81D67"/>
    <w:rsid w:val="20FB159D"/>
    <w:rsid w:val="20FE2235"/>
    <w:rsid w:val="20FF6A9A"/>
    <w:rsid w:val="21083BC2"/>
    <w:rsid w:val="211922BB"/>
    <w:rsid w:val="213E4872"/>
    <w:rsid w:val="21430611"/>
    <w:rsid w:val="21437D9E"/>
    <w:rsid w:val="21446E92"/>
    <w:rsid w:val="214621E3"/>
    <w:rsid w:val="215660CC"/>
    <w:rsid w:val="216D3CE9"/>
    <w:rsid w:val="21794A94"/>
    <w:rsid w:val="21842D94"/>
    <w:rsid w:val="21A32B19"/>
    <w:rsid w:val="21AD272C"/>
    <w:rsid w:val="21B17741"/>
    <w:rsid w:val="21B6475C"/>
    <w:rsid w:val="21BA6D6D"/>
    <w:rsid w:val="21C36D27"/>
    <w:rsid w:val="21D669E7"/>
    <w:rsid w:val="21DF0B49"/>
    <w:rsid w:val="21EA77D6"/>
    <w:rsid w:val="21F63C62"/>
    <w:rsid w:val="21FC1E35"/>
    <w:rsid w:val="21FE7D0C"/>
    <w:rsid w:val="220E6753"/>
    <w:rsid w:val="221C0772"/>
    <w:rsid w:val="221E0053"/>
    <w:rsid w:val="22265D9A"/>
    <w:rsid w:val="223F5C06"/>
    <w:rsid w:val="224E6DC3"/>
    <w:rsid w:val="226730C0"/>
    <w:rsid w:val="226C52AF"/>
    <w:rsid w:val="227B36F8"/>
    <w:rsid w:val="227F6FF1"/>
    <w:rsid w:val="22907339"/>
    <w:rsid w:val="22AF0D77"/>
    <w:rsid w:val="22B2007B"/>
    <w:rsid w:val="22B95705"/>
    <w:rsid w:val="22CB72D1"/>
    <w:rsid w:val="22E178ED"/>
    <w:rsid w:val="22E22A4D"/>
    <w:rsid w:val="22ED6462"/>
    <w:rsid w:val="22F348CD"/>
    <w:rsid w:val="22F45FCF"/>
    <w:rsid w:val="22FC06A5"/>
    <w:rsid w:val="22FF7761"/>
    <w:rsid w:val="23020FDB"/>
    <w:rsid w:val="230E06A4"/>
    <w:rsid w:val="231C3441"/>
    <w:rsid w:val="23293EB6"/>
    <w:rsid w:val="232F3849"/>
    <w:rsid w:val="2337774B"/>
    <w:rsid w:val="23481B63"/>
    <w:rsid w:val="2351290E"/>
    <w:rsid w:val="23591063"/>
    <w:rsid w:val="235A0F1A"/>
    <w:rsid w:val="235D323C"/>
    <w:rsid w:val="23656399"/>
    <w:rsid w:val="23665294"/>
    <w:rsid w:val="236C281B"/>
    <w:rsid w:val="2372532F"/>
    <w:rsid w:val="23823682"/>
    <w:rsid w:val="238E318C"/>
    <w:rsid w:val="23906450"/>
    <w:rsid w:val="23A420F7"/>
    <w:rsid w:val="23AE59CB"/>
    <w:rsid w:val="23BE70A9"/>
    <w:rsid w:val="23C75EE5"/>
    <w:rsid w:val="23D24679"/>
    <w:rsid w:val="23D66441"/>
    <w:rsid w:val="23D75C2D"/>
    <w:rsid w:val="23DD3188"/>
    <w:rsid w:val="23DD3E5B"/>
    <w:rsid w:val="23E45141"/>
    <w:rsid w:val="23E50DFE"/>
    <w:rsid w:val="23E554E6"/>
    <w:rsid w:val="23E7391D"/>
    <w:rsid w:val="23FD3354"/>
    <w:rsid w:val="24042CD6"/>
    <w:rsid w:val="24197D2E"/>
    <w:rsid w:val="24286D04"/>
    <w:rsid w:val="242A5864"/>
    <w:rsid w:val="24336302"/>
    <w:rsid w:val="243946CC"/>
    <w:rsid w:val="243B2B90"/>
    <w:rsid w:val="243E25C8"/>
    <w:rsid w:val="244357BA"/>
    <w:rsid w:val="244B70E2"/>
    <w:rsid w:val="244C4B42"/>
    <w:rsid w:val="24507087"/>
    <w:rsid w:val="245844B3"/>
    <w:rsid w:val="245C6A2E"/>
    <w:rsid w:val="24604C2F"/>
    <w:rsid w:val="24644E87"/>
    <w:rsid w:val="2481176D"/>
    <w:rsid w:val="248357B6"/>
    <w:rsid w:val="248F0601"/>
    <w:rsid w:val="24936440"/>
    <w:rsid w:val="249B068F"/>
    <w:rsid w:val="24A413AE"/>
    <w:rsid w:val="24A44327"/>
    <w:rsid w:val="24B51507"/>
    <w:rsid w:val="24B80DE9"/>
    <w:rsid w:val="24C57038"/>
    <w:rsid w:val="24D04101"/>
    <w:rsid w:val="24D96306"/>
    <w:rsid w:val="24E35E5C"/>
    <w:rsid w:val="24E828A2"/>
    <w:rsid w:val="25040357"/>
    <w:rsid w:val="25063BFD"/>
    <w:rsid w:val="25106D5A"/>
    <w:rsid w:val="25151810"/>
    <w:rsid w:val="25152110"/>
    <w:rsid w:val="252D01A0"/>
    <w:rsid w:val="252E024E"/>
    <w:rsid w:val="25311E5F"/>
    <w:rsid w:val="25355E09"/>
    <w:rsid w:val="254A39C3"/>
    <w:rsid w:val="254E4445"/>
    <w:rsid w:val="255A481F"/>
    <w:rsid w:val="255A738A"/>
    <w:rsid w:val="255F3BF4"/>
    <w:rsid w:val="25615BCD"/>
    <w:rsid w:val="25681E17"/>
    <w:rsid w:val="256E25F1"/>
    <w:rsid w:val="25710315"/>
    <w:rsid w:val="25906723"/>
    <w:rsid w:val="25945D6C"/>
    <w:rsid w:val="25977732"/>
    <w:rsid w:val="259D1744"/>
    <w:rsid w:val="25A53EFD"/>
    <w:rsid w:val="25B077EB"/>
    <w:rsid w:val="25B71138"/>
    <w:rsid w:val="25B739AB"/>
    <w:rsid w:val="25B75D13"/>
    <w:rsid w:val="25B85F00"/>
    <w:rsid w:val="25B94588"/>
    <w:rsid w:val="25BA537D"/>
    <w:rsid w:val="25BD4B64"/>
    <w:rsid w:val="25BF253F"/>
    <w:rsid w:val="25C20919"/>
    <w:rsid w:val="25C23B37"/>
    <w:rsid w:val="25C3378A"/>
    <w:rsid w:val="25D74F8A"/>
    <w:rsid w:val="25F56D19"/>
    <w:rsid w:val="25FA1C70"/>
    <w:rsid w:val="2607382C"/>
    <w:rsid w:val="260C0043"/>
    <w:rsid w:val="260E742C"/>
    <w:rsid w:val="260F285E"/>
    <w:rsid w:val="260F3540"/>
    <w:rsid w:val="261439A5"/>
    <w:rsid w:val="261F39EA"/>
    <w:rsid w:val="26272FC8"/>
    <w:rsid w:val="262A36A9"/>
    <w:rsid w:val="26325599"/>
    <w:rsid w:val="26335014"/>
    <w:rsid w:val="26350991"/>
    <w:rsid w:val="263B12C0"/>
    <w:rsid w:val="263E6B2A"/>
    <w:rsid w:val="264F6ED3"/>
    <w:rsid w:val="2652631A"/>
    <w:rsid w:val="265A069A"/>
    <w:rsid w:val="26682B79"/>
    <w:rsid w:val="26734082"/>
    <w:rsid w:val="26762EF3"/>
    <w:rsid w:val="267B51E2"/>
    <w:rsid w:val="26A97283"/>
    <w:rsid w:val="26B21559"/>
    <w:rsid w:val="26B908EF"/>
    <w:rsid w:val="26C4631E"/>
    <w:rsid w:val="26DC2E90"/>
    <w:rsid w:val="26E67B52"/>
    <w:rsid w:val="26EF61D7"/>
    <w:rsid w:val="26F50D5B"/>
    <w:rsid w:val="270D1D4F"/>
    <w:rsid w:val="270E63FD"/>
    <w:rsid w:val="270F5784"/>
    <w:rsid w:val="27111098"/>
    <w:rsid w:val="271559EC"/>
    <w:rsid w:val="27165DCC"/>
    <w:rsid w:val="27187EB6"/>
    <w:rsid w:val="27220804"/>
    <w:rsid w:val="273201F7"/>
    <w:rsid w:val="275E3E10"/>
    <w:rsid w:val="275F19A0"/>
    <w:rsid w:val="27603225"/>
    <w:rsid w:val="2762286C"/>
    <w:rsid w:val="276E20C0"/>
    <w:rsid w:val="277B1DAD"/>
    <w:rsid w:val="2782206A"/>
    <w:rsid w:val="27905244"/>
    <w:rsid w:val="279126CD"/>
    <w:rsid w:val="27962D54"/>
    <w:rsid w:val="2799658F"/>
    <w:rsid w:val="279B0C2A"/>
    <w:rsid w:val="279B6E24"/>
    <w:rsid w:val="27AC0928"/>
    <w:rsid w:val="27AC7A02"/>
    <w:rsid w:val="27C8509B"/>
    <w:rsid w:val="27CE121D"/>
    <w:rsid w:val="27CF725A"/>
    <w:rsid w:val="27D8245E"/>
    <w:rsid w:val="27DB6E65"/>
    <w:rsid w:val="27DE3070"/>
    <w:rsid w:val="27DF01D5"/>
    <w:rsid w:val="27E33F0A"/>
    <w:rsid w:val="27EF7938"/>
    <w:rsid w:val="27F070DC"/>
    <w:rsid w:val="27F224C6"/>
    <w:rsid w:val="27F54ACB"/>
    <w:rsid w:val="27F61674"/>
    <w:rsid w:val="27F75753"/>
    <w:rsid w:val="27F91277"/>
    <w:rsid w:val="27FB22F2"/>
    <w:rsid w:val="28083900"/>
    <w:rsid w:val="2825367D"/>
    <w:rsid w:val="2826115F"/>
    <w:rsid w:val="282F78AD"/>
    <w:rsid w:val="28423B4D"/>
    <w:rsid w:val="28507CDA"/>
    <w:rsid w:val="28532E6F"/>
    <w:rsid w:val="285B443E"/>
    <w:rsid w:val="285B6F79"/>
    <w:rsid w:val="285D1D01"/>
    <w:rsid w:val="286554BC"/>
    <w:rsid w:val="28664C40"/>
    <w:rsid w:val="28687B6A"/>
    <w:rsid w:val="286B558E"/>
    <w:rsid w:val="28715F10"/>
    <w:rsid w:val="287F21DC"/>
    <w:rsid w:val="2880389E"/>
    <w:rsid w:val="288838BE"/>
    <w:rsid w:val="288B31D5"/>
    <w:rsid w:val="28947941"/>
    <w:rsid w:val="28962598"/>
    <w:rsid w:val="289D5340"/>
    <w:rsid w:val="28A4629F"/>
    <w:rsid w:val="28BF72F1"/>
    <w:rsid w:val="28C4032F"/>
    <w:rsid w:val="28C571B3"/>
    <w:rsid w:val="28C67C64"/>
    <w:rsid w:val="28C739EF"/>
    <w:rsid w:val="28D650A9"/>
    <w:rsid w:val="28E90040"/>
    <w:rsid w:val="28EE0FEB"/>
    <w:rsid w:val="28FE0602"/>
    <w:rsid w:val="290630EB"/>
    <w:rsid w:val="29075AB6"/>
    <w:rsid w:val="290859E6"/>
    <w:rsid w:val="290C57B8"/>
    <w:rsid w:val="290E7873"/>
    <w:rsid w:val="291017E1"/>
    <w:rsid w:val="291A7AFF"/>
    <w:rsid w:val="29201757"/>
    <w:rsid w:val="29210377"/>
    <w:rsid w:val="29292C68"/>
    <w:rsid w:val="292A1473"/>
    <w:rsid w:val="292B5669"/>
    <w:rsid w:val="293109CA"/>
    <w:rsid w:val="29361B4A"/>
    <w:rsid w:val="29387915"/>
    <w:rsid w:val="295B0537"/>
    <w:rsid w:val="296B3782"/>
    <w:rsid w:val="296C0526"/>
    <w:rsid w:val="2976153E"/>
    <w:rsid w:val="2976422B"/>
    <w:rsid w:val="29770DF8"/>
    <w:rsid w:val="29804282"/>
    <w:rsid w:val="29892A48"/>
    <w:rsid w:val="298A7A73"/>
    <w:rsid w:val="298B2893"/>
    <w:rsid w:val="299A19C2"/>
    <w:rsid w:val="29B107CB"/>
    <w:rsid w:val="29BA586D"/>
    <w:rsid w:val="29BE78B6"/>
    <w:rsid w:val="29DF4C6B"/>
    <w:rsid w:val="29E02EFF"/>
    <w:rsid w:val="29FF6AEC"/>
    <w:rsid w:val="2A1119BD"/>
    <w:rsid w:val="2A1B09A7"/>
    <w:rsid w:val="2A1E1FED"/>
    <w:rsid w:val="2A2468F4"/>
    <w:rsid w:val="2A291340"/>
    <w:rsid w:val="2A302748"/>
    <w:rsid w:val="2A313FD8"/>
    <w:rsid w:val="2A3C6C16"/>
    <w:rsid w:val="2A405DCF"/>
    <w:rsid w:val="2A471409"/>
    <w:rsid w:val="2A624AB9"/>
    <w:rsid w:val="2A656271"/>
    <w:rsid w:val="2A666A78"/>
    <w:rsid w:val="2A692E61"/>
    <w:rsid w:val="2A714957"/>
    <w:rsid w:val="2A7232D7"/>
    <w:rsid w:val="2A7C05A7"/>
    <w:rsid w:val="2A7F62E3"/>
    <w:rsid w:val="2A813A71"/>
    <w:rsid w:val="2A905E97"/>
    <w:rsid w:val="2A95523A"/>
    <w:rsid w:val="2A9B26D0"/>
    <w:rsid w:val="2A9F08D1"/>
    <w:rsid w:val="2AA83A3F"/>
    <w:rsid w:val="2AB2320F"/>
    <w:rsid w:val="2ABF1D3F"/>
    <w:rsid w:val="2AC000FB"/>
    <w:rsid w:val="2AC264EE"/>
    <w:rsid w:val="2ACA0D0E"/>
    <w:rsid w:val="2AD5268F"/>
    <w:rsid w:val="2AEA4D0C"/>
    <w:rsid w:val="2AF11577"/>
    <w:rsid w:val="2AF50C32"/>
    <w:rsid w:val="2AF6529B"/>
    <w:rsid w:val="2B013B20"/>
    <w:rsid w:val="2B1256A1"/>
    <w:rsid w:val="2B21394F"/>
    <w:rsid w:val="2B21691B"/>
    <w:rsid w:val="2B290181"/>
    <w:rsid w:val="2B2916E7"/>
    <w:rsid w:val="2B2C73D4"/>
    <w:rsid w:val="2B305C78"/>
    <w:rsid w:val="2B344980"/>
    <w:rsid w:val="2B385F30"/>
    <w:rsid w:val="2B3A39CA"/>
    <w:rsid w:val="2B3E7EE5"/>
    <w:rsid w:val="2B4222ED"/>
    <w:rsid w:val="2B532AC4"/>
    <w:rsid w:val="2B555E25"/>
    <w:rsid w:val="2B5D3D5F"/>
    <w:rsid w:val="2B654038"/>
    <w:rsid w:val="2B6E0F50"/>
    <w:rsid w:val="2B7102A7"/>
    <w:rsid w:val="2B7B7348"/>
    <w:rsid w:val="2B8A0D5B"/>
    <w:rsid w:val="2B8C30E0"/>
    <w:rsid w:val="2B9119F2"/>
    <w:rsid w:val="2B97563A"/>
    <w:rsid w:val="2B9942DF"/>
    <w:rsid w:val="2BAD343A"/>
    <w:rsid w:val="2BAD3AC5"/>
    <w:rsid w:val="2BB06E8D"/>
    <w:rsid w:val="2BB43D0C"/>
    <w:rsid w:val="2BBE3C36"/>
    <w:rsid w:val="2BBF3D45"/>
    <w:rsid w:val="2BC350FC"/>
    <w:rsid w:val="2BC53F3F"/>
    <w:rsid w:val="2BD472B9"/>
    <w:rsid w:val="2BE60559"/>
    <w:rsid w:val="2BFF6D7B"/>
    <w:rsid w:val="2C021999"/>
    <w:rsid w:val="2C09309A"/>
    <w:rsid w:val="2C1873B2"/>
    <w:rsid w:val="2C216CEA"/>
    <w:rsid w:val="2C2378D1"/>
    <w:rsid w:val="2C25780E"/>
    <w:rsid w:val="2C2C0FEE"/>
    <w:rsid w:val="2C2F7C1E"/>
    <w:rsid w:val="2C325AE8"/>
    <w:rsid w:val="2C366807"/>
    <w:rsid w:val="2C4D35A1"/>
    <w:rsid w:val="2C6205EF"/>
    <w:rsid w:val="2C6465D8"/>
    <w:rsid w:val="2C6619A5"/>
    <w:rsid w:val="2C68733C"/>
    <w:rsid w:val="2C697645"/>
    <w:rsid w:val="2C967771"/>
    <w:rsid w:val="2CAC1CDC"/>
    <w:rsid w:val="2CBC72B7"/>
    <w:rsid w:val="2CCC623B"/>
    <w:rsid w:val="2CD11468"/>
    <w:rsid w:val="2CD72673"/>
    <w:rsid w:val="2CD73DEC"/>
    <w:rsid w:val="2CDA4AEB"/>
    <w:rsid w:val="2CEA640A"/>
    <w:rsid w:val="2CEC2A2D"/>
    <w:rsid w:val="2CEC7591"/>
    <w:rsid w:val="2CF220FC"/>
    <w:rsid w:val="2CF25EBD"/>
    <w:rsid w:val="2CF539DE"/>
    <w:rsid w:val="2CF57A86"/>
    <w:rsid w:val="2CFB5FDB"/>
    <w:rsid w:val="2D014079"/>
    <w:rsid w:val="2D015FD7"/>
    <w:rsid w:val="2D132113"/>
    <w:rsid w:val="2D1E3DD0"/>
    <w:rsid w:val="2D2A2F93"/>
    <w:rsid w:val="2D2B6EDC"/>
    <w:rsid w:val="2D2D2B31"/>
    <w:rsid w:val="2D306FF5"/>
    <w:rsid w:val="2D362FA6"/>
    <w:rsid w:val="2D6510C1"/>
    <w:rsid w:val="2D680962"/>
    <w:rsid w:val="2D6B19FB"/>
    <w:rsid w:val="2D6F48DE"/>
    <w:rsid w:val="2D796A75"/>
    <w:rsid w:val="2D8106C7"/>
    <w:rsid w:val="2D820B90"/>
    <w:rsid w:val="2D846026"/>
    <w:rsid w:val="2D86624A"/>
    <w:rsid w:val="2D94414C"/>
    <w:rsid w:val="2DA20A64"/>
    <w:rsid w:val="2DB0643B"/>
    <w:rsid w:val="2DB10E4B"/>
    <w:rsid w:val="2DC618B4"/>
    <w:rsid w:val="2DC620F5"/>
    <w:rsid w:val="2DC95FF2"/>
    <w:rsid w:val="2DD75859"/>
    <w:rsid w:val="2DF732DE"/>
    <w:rsid w:val="2E1F07F7"/>
    <w:rsid w:val="2E236874"/>
    <w:rsid w:val="2E247A70"/>
    <w:rsid w:val="2E2C0452"/>
    <w:rsid w:val="2E2F32EB"/>
    <w:rsid w:val="2E337103"/>
    <w:rsid w:val="2E3F6E03"/>
    <w:rsid w:val="2E41793F"/>
    <w:rsid w:val="2E4C4308"/>
    <w:rsid w:val="2E507221"/>
    <w:rsid w:val="2E5E71A5"/>
    <w:rsid w:val="2E5F033A"/>
    <w:rsid w:val="2E6E3321"/>
    <w:rsid w:val="2E75470F"/>
    <w:rsid w:val="2E76046C"/>
    <w:rsid w:val="2E7B74D0"/>
    <w:rsid w:val="2E845CA2"/>
    <w:rsid w:val="2E893DA2"/>
    <w:rsid w:val="2E9272CC"/>
    <w:rsid w:val="2EA54C29"/>
    <w:rsid w:val="2EAA0A81"/>
    <w:rsid w:val="2EAA3251"/>
    <w:rsid w:val="2EB26B05"/>
    <w:rsid w:val="2EC3709F"/>
    <w:rsid w:val="2EC47577"/>
    <w:rsid w:val="2ECA70FB"/>
    <w:rsid w:val="2ECE2F51"/>
    <w:rsid w:val="2ED10106"/>
    <w:rsid w:val="2ED23BD8"/>
    <w:rsid w:val="2EDA6686"/>
    <w:rsid w:val="2EDE4B3F"/>
    <w:rsid w:val="2EE0073D"/>
    <w:rsid w:val="2EE133B5"/>
    <w:rsid w:val="2EEC5C9F"/>
    <w:rsid w:val="2EF05A9D"/>
    <w:rsid w:val="2F0033D3"/>
    <w:rsid w:val="2F0728A3"/>
    <w:rsid w:val="2F0B441B"/>
    <w:rsid w:val="2F0D2646"/>
    <w:rsid w:val="2F1409A6"/>
    <w:rsid w:val="2F180FA7"/>
    <w:rsid w:val="2F1F2B98"/>
    <w:rsid w:val="2F2249DD"/>
    <w:rsid w:val="2F2B6FA1"/>
    <w:rsid w:val="2F367CF4"/>
    <w:rsid w:val="2F4558DE"/>
    <w:rsid w:val="2F486BF0"/>
    <w:rsid w:val="2F4F63BF"/>
    <w:rsid w:val="2F735CA3"/>
    <w:rsid w:val="2F76124D"/>
    <w:rsid w:val="2F7E76C1"/>
    <w:rsid w:val="2F8241E4"/>
    <w:rsid w:val="2F883258"/>
    <w:rsid w:val="2F9152D2"/>
    <w:rsid w:val="2F952845"/>
    <w:rsid w:val="2F975BB1"/>
    <w:rsid w:val="2FA34A9C"/>
    <w:rsid w:val="2FA93EBB"/>
    <w:rsid w:val="2FDE0E79"/>
    <w:rsid w:val="2FEB485E"/>
    <w:rsid w:val="2FED7326"/>
    <w:rsid w:val="2FEF33A7"/>
    <w:rsid w:val="2FF92D3A"/>
    <w:rsid w:val="2FFC3113"/>
    <w:rsid w:val="30060E01"/>
    <w:rsid w:val="3006124E"/>
    <w:rsid w:val="300A59D4"/>
    <w:rsid w:val="300E1572"/>
    <w:rsid w:val="30104C59"/>
    <w:rsid w:val="3015526C"/>
    <w:rsid w:val="30167CD1"/>
    <w:rsid w:val="301810A6"/>
    <w:rsid w:val="301B6D19"/>
    <w:rsid w:val="301E0E4E"/>
    <w:rsid w:val="301F6BC5"/>
    <w:rsid w:val="30284BD1"/>
    <w:rsid w:val="302F3C6C"/>
    <w:rsid w:val="302F642F"/>
    <w:rsid w:val="30487E62"/>
    <w:rsid w:val="30513750"/>
    <w:rsid w:val="3052586F"/>
    <w:rsid w:val="305335DB"/>
    <w:rsid w:val="305B35BF"/>
    <w:rsid w:val="305D1A21"/>
    <w:rsid w:val="305E345B"/>
    <w:rsid w:val="30607A7D"/>
    <w:rsid w:val="3062174A"/>
    <w:rsid w:val="30680F88"/>
    <w:rsid w:val="3072666E"/>
    <w:rsid w:val="307358C8"/>
    <w:rsid w:val="307F061E"/>
    <w:rsid w:val="30887B99"/>
    <w:rsid w:val="3098694B"/>
    <w:rsid w:val="309B0BD0"/>
    <w:rsid w:val="30A86E6F"/>
    <w:rsid w:val="30AB5A5F"/>
    <w:rsid w:val="30AC5C22"/>
    <w:rsid w:val="30BA02DB"/>
    <w:rsid w:val="30BF20BA"/>
    <w:rsid w:val="30C03C74"/>
    <w:rsid w:val="30C84EB6"/>
    <w:rsid w:val="30E15DC6"/>
    <w:rsid w:val="30E9244F"/>
    <w:rsid w:val="30EE176F"/>
    <w:rsid w:val="30F11D0D"/>
    <w:rsid w:val="30F40E92"/>
    <w:rsid w:val="30F7740C"/>
    <w:rsid w:val="30FA5E46"/>
    <w:rsid w:val="310B59DC"/>
    <w:rsid w:val="31182D58"/>
    <w:rsid w:val="311D6043"/>
    <w:rsid w:val="3120328B"/>
    <w:rsid w:val="313C20D0"/>
    <w:rsid w:val="31440FB7"/>
    <w:rsid w:val="314824A5"/>
    <w:rsid w:val="314A28CE"/>
    <w:rsid w:val="314C346B"/>
    <w:rsid w:val="314E7DBB"/>
    <w:rsid w:val="315548AE"/>
    <w:rsid w:val="315D295F"/>
    <w:rsid w:val="31603F47"/>
    <w:rsid w:val="3167339C"/>
    <w:rsid w:val="31833399"/>
    <w:rsid w:val="31837425"/>
    <w:rsid w:val="31963285"/>
    <w:rsid w:val="319F38AD"/>
    <w:rsid w:val="31A61479"/>
    <w:rsid w:val="31AA1E8D"/>
    <w:rsid w:val="31AD7ABB"/>
    <w:rsid w:val="31AE4950"/>
    <w:rsid w:val="31B232F3"/>
    <w:rsid w:val="31BF52C7"/>
    <w:rsid w:val="31CE7ACC"/>
    <w:rsid w:val="31D643EC"/>
    <w:rsid w:val="31D66215"/>
    <w:rsid w:val="31D712D6"/>
    <w:rsid w:val="31DD2BA3"/>
    <w:rsid w:val="31E6401B"/>
    <w:rsid w:val="31E6507C"/>
    <w:rsid w:val="31E72297"/>
    <w:rsid w:val="31F240E0"/>
    <w:rsid w:val="31F32984"/>
    <w:rsid w:val="320544D6"/>
    <w:rsid w:val="320664A1"/>
    <w:rsid w:val="320A07D5"/>
    <w:rsid w:val="320F6705"/>
    <w:rsid w:val="321031DC"/>
    <w:rsid w:val="32143AA2"/>
    <w:rsid w:val="322079FE"/>
    <w:rsid w:val="3222237C"/>
    <w:rsid w:val="32225CA9"/>
    <w:rsid w:val="322A44F2"/>
    <w:rsid w:val="322E1AD9"/>
    <w:rsid w:val="323F6674"/>
    <w:rsid w:val="32512F3D"/>
    <w:rsid w:val="32554FC7"/>
    <w:rsid w:val="325D3EB5"/>
    <w:rsid w:val="325F4584"/>
    <w:rsid w:val="326048AB"/>
    <w:rsid w:val="32653608"/>
    <w:rsid w:val="326A146F"/>
    <w:rsid w:val="326D050E"/>
    <w:rsid w:val="327540DC"/>
    <w:rsid w:val="32767BCC"/>
    <w:rsid w:val="32797881"/>
    <w:rsid w:val="329548FF"/>
    <w:rsid w:val="32A1301E"/>
    <w:rsid w:val="32A17613"/>
    <w:rsid w:val="32A20284"/>
    <w:rsid w:val="32B04276"/>
    <w:rsid w:val="32B31274"/>
    <w:rsid w:val="32B71119"/>
    <w:rsid w:val="32BB2178"/>
    <w:rsid w:val="32D0275A"/>
    <w:rsid w:val="32DF4AA9"/>
    <w:rsid w:val="32E046A8"/>
    <w:rsid w:val="32EF2DC0"/>
    <w:rsid w:val="32F62330"/>
    <w:rsid w:val="32F8425B"/>
    <w:rsid w:val="32FA6650"/>
    <w:rsid w:val="33101336"/>
    <w:rsid w:val="33125B84"/>
    <w:rsid w:val="33167FC7"/>
    <w:rsid w:val="331F564E"/>
    <w:rsid w:val="3329365C"/>
    <w:rsid w:val="33316EFD"/>
    <w:rsid w:val="33375C4E"/>
    <w:rsid w:val="333A5458"/>
    <w:rsid w:val="333F45DE"/>
    <w:rsid w:val="334078A1"/>
    <w:rsid w:val="3344205F"/>
    <w:rsid w:val="334B4B30"/>
    <w:rsid w:val="334E5808"/>
    <w:rsid w:val="3355252B"/>
    <w:rsid w:val="33586590"/>
    <w:rsid w:val="33595371"/>
    <w:rsid w:val="33677CFA"/>
    <w:rsid w:val="338045A2"/>
    <w:rsid w:val="338061E0"/>
    <w:rsid w:val="338143ED"/>
    <w:rsid w:val="33822F1B"/>
    <w:rsid w:val="339D2981"/>
    <w:rsid w:val="339E4FF5"/>
    <w:rsid w:val="33A02EE3"/>
    <w:rsid w:val="33A23F0D"/>
    <w:rsid w:val="33A464F2"/>
    <w:rsid w:val="33AA2D5D"/>
    <w:rsid w:val="33AA33FD"/>
    <w:rsid w:val="33AA6D9E"/>
    <w:rsid w:val="33B73AA1"/>
    <w:rsid w:val="33C014B8"/>
    <w:rsid w:val="33C1567C"/>
    <w:rsid w:val="33D259EA"/>
    <w:rsid w:val="33D916E1"/>
    <w:rsid w:val="33EC53E3"/>
    <w:rsid w:val="33ED5541"/>
    <w:rsid w:val="33F82AD7"/>
    <w:rsid w:val="33FA1DFC"/>
    <w:rsid w:val="34065DA7"/>
    <w:rsid w:val="3408505D"/>
    <w:rsid w:val="341D70DB"/>
    <w:rsid w:val="341E4244"/>
    <w:rsid w:val="34221CAB"/>
    <w:rsid w:val="3433636E"/>
    <w:rsid w:val="3443066D"/>
    <w:rsid w:val="34450A79"/>
    <w:rsid w:val="344B7E7C"/>
    <w:rsid w:val="344E18C9"/>
    <w:rsid w:val="344F33C1"/>
    <w:rsid w:val="3465042F"/>
    <w:rsid w:val="347069E4"/>
    <w:rsid w:val="34766E7E"/>
    <w:rsid w:val="347D197B"/>
    <w:rsid w:val="348115A4"/>
    <w:rsid w:val="3481698C"/>
    <w:rsid w:val="348871E8"/>
    <w:rsid w:val="348B5AD1"/>
    <w:rsid w:val="348F3779"/>
    <w:rsid w:val="349C34BA"/>
    <w:rsid w:val="349D0456"/>
    <w:rsid w:val="34A3644C"/>
    <w:rsid w:val="34A90914"/>
    <w:rsid w:val="34B57BFE"/>
    <w:rsid w:val="34B74E95"/>
    <w:rsid w:val="34BE080A"/>
    <w:rsid w:val="34BE1CBB"/>
    <w:rsid w:val="34C21C4E"/>
    <w:rsid w:val="34C304A9"/>
    <w:rsid w:val="34C80348"/>
    <w:rsid w:val="34CE78B3"/>
    <w:rsid w:val="34D044CE"/>
    <w:rsid w:val="34D0727D"/>
    <w:rsid w:val="34DB2A51"/>
    <w:rsid w:val="34E75AD3"/>
    <w:rsid w:val="34EE724B"/>
    <w:rsid w:val="35121556"/>
    <w:rsid w:val="351506CB"/>
    <w:rsid w:val="35174439"/>
    <w:rsid w:val="35174E5F"/>
    <w:rsid w:val="352C398B"/>
    <w:rsid w:val="35304BFC"/>
    <w:rsid w:val="35342CCA"/>
    <w:rsid w:val="35390BDE"/>
    <w:rsid w:val="35391F15"/>
    <w:rsid w:val="354E4D83"/>
    <w:rsid w:val="355A7665"/>
    <w:rsid w:val="356E583E"/>
    <w:rsid w:val="357154D1"/>
    <w:rsid w:val="35774367"/>
    <w:rsid w:val="357F6572"/>
    <w:rsid w:val="358D10B1"/>
    <w:rsid w:val="359A274C"/>
    <w:rsid w:val="359F7BDA"/>
    <w:rsid w:val="35B23F57"/>
    <w:rsid w:val="35C47C60"/>
    <w:rsid w:val="35D22475"/>
    <w:rsid w:val="35DE08AB"/>
    <w:rsid w:val="35E610FF"/>
    <w:rsid w:val="35E73564"/>
    <w:rsid w:val="35F40534"/>
    <w:rsid w:val="35F5619A"/>
    <w:rsid w:val="35F66D41"/>
    <w:rsid w:val="35F75C0F"/>
    <w:rsid w:val="35F80FC8"/>
    <w:rsid w:val="35FB503F"/>
    <w:rsid w:val="36025437"/>
    <w:rsid w:val="36055075"/>
    <w:rsid w:val="36075DF9"/>
    <w:rsid w:val="360F7F53"/>
    <w:rsid w:val="361B7A7F"/>
    <w:rsid w:val="36384468"/>
    <w:rsid w:val="365A77E3"/>
    <w:rsid w:val="36715489"/>
    <w:rsid w:val="36845533"/>
    <w:rsid w:val="3692269B"/>
    <w:rsid w:val="369D53C5"/>
    <w:rsid w:val="36A515BD"/>
    <w:rsid w:val="36A6100F"/>
    <w:rsid w:val="36AB3AE1"/>
    <w:rsid w:val="36AF6E15"/>
    <w:rsid w:val="36B94538"/>
    <w:rsid w:val="36B9491C"/>
    <w:rsid w:val="36C807E4"/>
    <w:rsid w:val="36D91DEB"/>
    <w:rsid w:val="36DD0E09"/>
    <w:rsid w:val="36EE28CB"/>
    <w:rsid w:val="36F50E28"/>
    <w:rsid w:val="370305C2"/>
    <w:rsid w:val="370958D4"/>
    <w:rsid w:val="370A5577"/>
    <w:rsid w:val="37164CC2"/>
    <w:rsid w:val="3725034D"/>
    <w:rsid w:val="372A0948"/>
    <w:rsid w:val="373152A2"/>
    <w:rsid w:val="3745354A"/>
    <w:rsid w:val="374F522A"/>
    <w:rsid w:val="375D0DE2"/>
    <w:rsid w:val="376D01C9"/>
    <w:rsid w:val="377C7CD6"/>
    <w:rsid w:val="377F5BDC"/>
    <w:rsid w:val="378A47E3"/>
    <w:rsid w:val="378B55E3"/>
    <w:rsid w:val="37971E07"/>
    <w:rsid w:val="379D5550"/>
    <w:rsid w:val="379F46CC"/>
    <w:rsid w:val="37C61AC8"/>
    <w:rsid w:val="37C6415D"/>
    <w:rsid w:val="37E9436B"/>
    <w:rsid w:val="37EA5462"/>
    <w:rsid w:val="37F25633"/>
    <w:rsid w:val="37F62B52"/>
    <w:rsid w:val="3801048A"/>
    <w:rsid w:val="38096799"/>
    <w:rsid w:val="38277A2D"/>
    <w:rsid w:val="382E0B53"/>
    <w:rsid w:val="383104A8"/>
    <w:rsid w:val="38372AB9"/>
    <w:rsid w:val="384240F5"/>
    <w:rsid w:val="384A179A"/>
    <w:rsid w:val="38534120"/>
    <w:rsid w:val="385819D6"/>
    <w:rsid w:val="385F15B9"/>
    <w:rsid w:val="38600923"/>
    <w:rsid w:val="38632B09"/>
    <w:rsid w:val="38683C60"/>
    <w:rsid w:val="387B3B02"/>
    <w:rsid w:val="388645D9"/>
    <w:rsid w:val="388A0D6C"/>
    <w:rsid w:val="389453EA"/>
    <w:rsid w:val="389C733F"/>
    <w:rsid w:val="389E2D48"/>
    <w:rsid w:val="38B3582F"/>
    <w:rsid w:val="38BE64C4"/>
    <w:rsid w:val="38C25C88"/>
    <w:rsid w:val="38CB3EB0"/>
    <w:rsid w:val="38D6407C"/>
    <w:rsid w:val="38E4629D"/>
    <w:rsid w:val="38ED35DB"/>
    <w:rsid w:val="3902057C"/>
    <w:rsid w:val="39041422"/>
    <w:rsid w:val="39050BD7"/>
    <w:rsid w:val="390B7DEE"/>
    <w:rsid w:val="39161457"/>
    <w:rsid w:val="392739CD"/>
    <w:rsid w:val="39285257"/>
    <w:rsid w:val="392F33E9"/>
    <w:rsid w:val="394058A1"/>
    <w:rsid w:val="395B587A"/>
    <w:rsid w:val="39634F2F"/>
    <w:rsid w:val="396B38F9"/>
    <w:rsid w:val="39725672"/>
    <w:rsid w:val="397C593B"/>
    <w:rsid w:val="398009F2"/>
    <w:rsid w:val="39856076"/>
    <w:rsid w:val="39904730"/>
    <w:rsid w:val="3998578F"/>
    <w:rsid w:val="399D40A6"/>
    <w:rsid w:val="399E10E9"/>
    <w:rsid w:val="39A15812"/>
    <w:rsid w:val="39A62BC5"/>
    <w:rsid w:val="39AB170B"/>
    <w:rsid w:val="39AB36B0"/>
    <w:rsid w:val="39AC5F39"/>
    <w:rsid w:val="39BD3526"/>
    <w:rsid w:val="39CA7EE1"/>
    <w:rsid w:val="39CF7C3B"/>
    <w:rsid w:val="39D0667C"/>
    <w:rsid w:val="39D13799"/>
    <w:rsid w:val="39D81C2E"/>
    <w:rsid w:val="39D834BC"/>
    <w:rsid w:val="39DB5D96"/>
    <w:rsid w:val="39E72C87"/>
    <w:rsid w:val="3A031FBB"/>
    <w:rsid w:val="3A0A1AA9"/>
    <w:rsid w:val="3A0B5777"/>
    <w:rsid w:val="3A155B6D"/>
    <w:rsid w:val="3A174B44"/>
    <w:rsid w:val="3A18071F"/>
    <w:rsid w:val="3A1E5170"/>
    <w:rsid w:val="3A340E74"/>
    <w:rsid w:val="3A3A6ED3"/>
    <w:rsid w:val="3A3B116A"/>
    <w:rsid w:val="3A40617E"/>
    <w:rsid w:val="3A4D2443"/>
    <w:rsid w:val="3A567FA2"/>
    <w:rsid w:val="3A6D28F3"/>
    <w:rsid w:val="3A6D578B"/>
    <w:rsid w:val="3A8335D3"/>
    <w:rsid w:val="3AA12391"/>
    <w:rsid w:val="3AB41160"/>
    <w:rsid w:val="3AB43C5D"/>
    <w:rsid w:val="3AB53404"/>
    <w:rsid w:val="3AB81F10"/>
    <w:rsid w:val="3AC00CC6"/>
    <w:rsid w:val="3AC46270"/>
    <w:rsid w:val="3ACA0E8E"/>
    <w:rsid w:val="3ACF410F"/>
    <w:rsid w:val="3AD338CF"/>
    <w:rsid w:val="3AE97133"/>
    <w:rsid w:val="3AF07747"/>
    <w:rsid w:val="3AF40AA8"/>
    <w:rsid w:val="3AF905E5"/>
    <w:rsid w:val="3B093699"/>
    <w:rsid w:val="3B0E32C8"/>
    <w:rsid w:val="3B1B1EED"/>
    <w:rsid w:val="3B1E77A1"/>
    <w:rsid w:val="3B226634"/>
    <w:rsid w:val="3B30376D"/>
    <w:rsid w:val="3B332520"/>
    <w:rsid w:val="3B336750"/>
    <w:rsid w:val="3B3E7874"/>
    <w:rsid w:val="3B476C5C"/>
    <w:rsid w:val="3B4B66AB"/>
    <w:rsid w:val="3B4B6968"/>
    <w:rsid w:val="3B4D2319"/>
    <w:rsid w:val="3B52584C"/>
    <w:rsid w:val="3B5C48FD"/>
    <w:rsid w:val="3B5D72EC"/>
    <w:rsid w:val="3B600818"/>
    <w:rsid w:val="3B764781"/>
    <w:rsid w:val="3B78287F"/>
    <w:rsid w:val="3B7A6828"/>
    <w:rsid w:val="3B917A3D"/>
    <w:rsid w:val="3B964F8C"/>
    <w:rsid w:val="3BA3417A"/>
    <w:rsid w:val="3BAD03B0"/>
    <w:rsid w:val="3BAD3C09"/>
    <w:rsid w:val="3BB27CC9"/>
    <w:rsid w:val="3BC25785"/>
    <w:rsid w:val="3BD33ADA"/>
    <w:rsid w:val="3BD43439"/>
    <w:rsid w:val="3BDB09BD"/>
    <w:rsid w:val="3BDC2AB5"/>
    <w:rsid w:val="3BDC484D"/>
    <w:rsid w:val="3BDE3AAA"/>
    <w:rsid w:val="3BE15761"/>
    <w:rsid w:val="3BF60A2E"/>
    <w:rsid w:val="3C2423A3"/>
    <w:rsid w:val="3C2E3ABB"/>
    <w:rsid w:val="3C354127"/>
    <w:rsid w:val="3C383785"/>
    <w:rsid w:val="3C4672D5"/>
    <w:rsid w:val="3C743B3F"/>
    <w:rsid w:val="3C75312D"/>
    <w:rsid w:val="3C7F73A4"/>
    <w:rsid w:val="3C9F674C"/>
    <w:rsid w:val="3CA1655A"/>
    <w:rsid w:val="3CA82ABA"/>
    <w:rsid w:val="3CAB23DB"/>
    <w:rsid w:val="3CAB622C"/>
    <w:rsid w:val="3CB06CF7"/>
    <w:rsid w:val="3CBB4053"/>
    <w:rsid w:val="3CBC1B1B"/>
    <w:rsid w:val="3CC65DEA"/>
    <w:rsid w:val="3CC70170"/>
    <w:rsid w:val="3CCC4D4C"/>
    <w:rsid w:val="3CDA79D6"/>
    <w:rsid w:val="3CE443AC"/>
    <w:rsid w:val="3CE6378A"/>
    <w:rsid w:val="3CFF781D"/>
    <w:rsid w:val="3D006537"/>
    <w:rsid w:val="3D04602E"/>
    <w:rsid w:val="3D051C8C"/>
    <w:rsid w:val="3D105DB8"/>
    <w:rsid w:val="3D1278CD"/>
    <w:rsid w:val="3D1651E3"/>
    <w:rsid w:val="3D230FA5"/>
    <w:rsid w:val="3D4753C2"/>
    <w:rsid w:val="3D502DD9"/>
    <w:rsid w:val="3D575A1F"/>
    <w:rsid w:val="3D5A5356"/>
    <w:rsid w:val="3D606D5A"/>
    <w:rsid w:val="3D6C04A2"/>
    <w:rsid w:val="3D6C7B1E"/>
    <w:rsid w:val="3D7B0EAE"/>
    <w:rsid w:val="3D7E169C"/>
    <w:rsid w:val="3D8842DF"/>
    <w:rsid w:val="3D8E489A"/>
    <w:rsid w:val="3D8F08A7"/>
    <w:rsid w:val="3D942DFB"/>
    <w:rsid w:val="3DA3457E"/>
    <w:rsid w:val="3DB3564E"/>
    <w:rsid w:val="3DB72439"/>
    <w:rsid w:val="3DE30D42"/>
    <w:rsid w:val="3DE50126"/>
    <w:rsid w:val="3DE734A8"/>
    <w:rsid w:val="3DE85616"/>
    <w:rsid w:val="3DEA6717"/>
    <w:rsid w:val="3DF066BE"/>
    <w:rsid w:val="3DF1237A"/>
    <w:rsid w:val="3DFC0FDC"/>
    <w:rsid w:val="3E0100A8"/>
    <w:rsid w:val="3E042B28"/>
    <w:rsid w:val="3E065D03"/>
    <w:rsid w:val="3E0D576A"/>
    <w:rsid w:val="3E15211A"/>
    <w:rsid w:val="3E25551A"/>
    <w:rsid w:val="3E2732A7"/>
    <w:rsid w:val="3E32130C"/>
    <w:rsid w:val="3E36060F"/>
    <w:rsid w:val="3E36080C"/>
    <w:rsid w:val="3E3C401A"/>
    <w:rsid w:val="3E433F6D"/>
    <w:rsid w:val="3E44218A"/>
    <w:rsid w:val="3E446FC6"/>
    <w:rsid w:val="3E457AC0"/>
    <w:rsid w:val="3E46589A"/>
    <w:rsid w:val="3E503CF0"/>
    <w:rsid w:val="3E5507F3"/>
    <w:rsid w:val="3E595BDA"/>
    <w:rsid w:val="3E643279"/>
    <w:rsid w:val="3E6B3B4F"/>
    <w:rsid w:val="3E6E2B13"/>
    <w:rsid w:val="3E793FCB"/>
    <w:rsid w:val="3E7B3C17"/>
    <w:rsid w:val="3E807C6B"/>
    <w:rsid w:val="3E8413CF"/>
    <w:rsid w:val="3E8823E8"/>
    <w:rsid w:val="3EA41F3B"/>
    <w:rsid w:val="3EAF785C"/>
    <w:rsid w:val="3EB5378A"/>
    <w:rsid w:val="3EBC5BF3"/>
    <w:rsid w:val="3EC86860"/>
    <w:rsid w:val="3EF16DA2"/>
    <w:rsid w:val="3EF230F9"/>
    <w:rsid w:val="3EF300AA"/>
    <w:rsid w:val="3EFA4897"/>
    <w:rsid w:val="3EFA7DE0"/>
    <w:rsid w:val="3F095ADA"/>
    <w:rsid w:val="3F0C51C1"/>
    <w:rsid w:val="3F0F6FB7"/>
    <w:rsid w:val="3F1C07B0"/>
    <w:rsid w:val="3F2000BF"/>
    <w:rsid w:val="3F214F25"/>
    <w:rsid w:val="3F2F0B00"/>
    <w:rsid w:val="3F3562E1"/>
    <w:rsid w:val="3F3F7018"/>
    <w:rsid w:val="3F407C46"/>
    <w:rsid w:val="3F496EA7"/>
    <w:rsid w:val="3F534A00"/>
    <w:rsid w:val="3F537B41"/>
    <w:rsid w:val="3F5C43D6"/>
    <w:rsid w:val="3F624259"/>
    <w:rsid w:val="3F626E4D"/>
    <w:rsid w:val="3F653A52"/>
    <w:rsid w:val="3F6C0920"/>
    <w:rsid w:val="3F741B48"/>
    <w:rsid w:val="3F78191C"/>
    <w:rsid w:val="3F783568"/>
    <w:rsid w:val="3F7A1AAF"/>
    <w:rsid w:val="3F7D08A7"/>
    <w:rsid w:val="3F7E4AA5"/>
    <w:rsid w:val="3F7E569A"/>
    <w:rsid w:val="3F813904"/>
    <w:rsid w:val="3F8A7998"/>
    <w:rsid w:val="3F8B2820"/>
    <w:rsid w:val="3FA8507A"/>
    <w:rsid w:val="3FBC5D40"/>
    <w:rsid w:val="3FC55420"/>
    <w:rsid w:val="3FC936F7"/>
    <w:rsid w:val="3FE8415D"/>
    <w:rsid w:val="3FEA5B8A"/>
    <w:rsid w:val="3FEC10DB"/>
    <w:rsid w:val="3FF45F20"/>
    <w:rsid w:val="3FF47EE2"/>
    <w:rsid w:val="3FFA0954"/>
    <w:rsid w:val="3FFF626D"/>
    <w:rsid w:val="40121EF7"/>
    <w:rsid w:val="40247999"/>
    <w:rsid w:val="40282971"/>
    <w:rsid w:val="4038105F"/>
    <w:rsid w:val="403911CE"/>
    <w:rsid w:val="403A0DD2"/>
    <w:rsid w:val="40450277"/>
    <w:rsid w:val="405428A2"/>
    <w:rsid w:val="405A3B40"/>
    <w:rsid w:val="405D354E"/>
    <w:rsid w:val="406D08C6"/>
    <w:rsid w:val="406D0C6A"/>
    <w:rsid w:val="406F5D95"/>
    <w:rsid w:val="40777C63"/>
    <w:rsid w:val="408B053C"/>
    <w:rsid w:val="408B18EF"/>
    <w:rsid w:val="409C7074"/>
    <w:rsid w:val="40A04EAA"/>
    <w:rsid w:val="40A42822"/>
    <w:rsid w:val="40A742D2"/>
    <w:rsid w:val="40AB069B"/>
    <w:rsid w:val="40B10C34"/>
    <w:rsid w:val="40B5528E"/>
    <w:rsid w:val="40BA1AEF"/>
    <w:rsid w:val="40BD1EE6"/>
    <w:rsid w:val="40CB45A4"/>
    <w:rsid w:val="40CD1439"/>
    <w:rsid w:val="40D21EAD"/>
    <w:rsid w:val="40D861A7"/>
    <w:rsid w:val="40D910E2"/>
    <w:rsid w:val="40DF325E"/>
    <w:rsid w:val="40E57226"/>
    <w:rsid w:val="40E86470"/>
    <w:rsid w:val="40EE5DCC"/>
    <w:rsid w:val="40F05B0A"/>
    <w:rsid w:val="40F077B3"/>
    <w:rsid w:val="40F173B9"/>
    <w:rsid w:val="41082368"/>
    <w:rsid w:val="410D62E6"/>
    <w:rsid w:val="410F7753"/>
    <w:rsid w:val="41114E45"/>
    <w:rsid w:val="41126378"/>
    <w:rsid w:val="411920B4"/>
    <w:rsid w:val="411D6786"/>
    <w:rsid w:val="41277B79"/>
    <w:rsid w:val="413750D5"/>
    <w:rsid w:val="413F3D30"/>
    <w:rsid w:val="41434944"/>
    <w:rsid w:val="41534C32"/>
    <w:rsid w:val="415955D3"/>
    <w:rsid w:val="415C07A6"/>
    <w:rsid w:val="41603558"/>
    <w:rsid w:val="4160791D"/>
    <w:rsid w:val="41622DA8"/>
    <w:rsid w:val="416267EE"/>
    <w:rsid w:val="41645765"/>
    <w:rsid w:val="41686319"/>
    <w:rsid w:val="416870EC"/>
    <w:rsid w:val="41691829"/>
    <w:rsid w:val="416C5F7A"/>
    <w:rsid w:val="416E56A4"/>
    <w:rsid w:val="4173114C"/>
    <w:rsid w:val="41736B5C"/>
    <w:rsid w:val="41744B68"/>
    <w:rsid w:val="41772038"/>
    <w:rsid w:val="41775552"/>
    <w:rsid w:val="417B0BF3"/>
    <w:rsid w:val="417C6A83"/>
    <w:rsid w:val="4184497F"/>
    <w:rsid w:val="41871848"/>
    <w:rsid w:val="41923730"/>
    <w:rsid w:val="41937A54"/>
    <w:rsid w:val="41C643BE"/>
    <w:rsid w:val="41D747D1"/>
    <w:rsid w:val="41E00F03"/>
    <w:rsid w:val="41E73EBD"/>
    <w:rsid w:val="41ED4C9A"/>
    <w:rsid w:val="41EE4AD1"/>
    <w:rsid w:val="41F41BC0"/>
    <w:rsid w:val="41F477B2"/>
    <w:rsid w:val="41F85DCB"/>
    <w:rsid w:val="42027A33"/>
    <w:rsid w:val="42050BB7"/>
    <w:rsid w:val="420B47F1"/>
    <w:rsid w:val="42107462"/>
    <w:rsid w:val="421138F3"/>
    <w:rsid w:val="42144F39"/>
    <w:rsid w:val="421B376A"/>
    <w:rsid w:val="422A2EBE"/>
    <w:rsid w:val="42363D7E"/>
    <w:rsid w:val="42407972"/>
    <w:rsid w:val="425438F8"/>
    <w:rsid w:val="426D1AF9"/>
    <w:rsid w:val="42817119"/>
    <w:rsid w:val="428E6753"/>
    <w:rsid w:val="42B63740"/>
    <w:rsid w:val="42B80068"/>
    <w:rsid w:val="42BF3600"/>
    <w:rsid w:val="42C635AB"/>
    <w:rsid w:val="42CC41ED"/>
    <w:rsid w:val="42CD7A58"/>
    <w:rsid w:val="42DE4937"/>
    <w:rsid w:val="42E4482F"/>
    <w:rsid w:val="42E74894"/>
    <w:rsid w:val="42E80112"/>
    <w:rsid w:val="42E80BE7"/>
    <w:rsid w:val="42EA2674"/>
    <w:rsid w:val="42FF0A4E"/>
    <w:rsid w:val="42FF4FD2"/>
    <w:rsid w:val="43030B11"/>
    <w:rsid w:val="43072C25"/>
    <w:rsid w:val="430B7F74"/>
    <w:rsid w:val="43105BAF"/>
    <w:rsid w:val="43197002"/>
    <w:rsid w:val="431D2F80"/>
    <w:rsid w:val="431E756D"/>
    <w:rsid w:val="43205943"/>
    <w:rsid w:val="435306A7"/>
    <w:rsid w:val="435931F2"/>
    <w:rsid w:val="4359639F"/>
    <w:rsid w:val="435A2947"/>
    <w:rsid w:val="435D6F74"/>
    <w:rsid w:val="43611965"/>
    <w:rsid w:val="43642B1D"/>
    <w:rsid w:val="436C1FC8"/>
    <w:rsid w:val="43700594"/>
    <w:rsid w:val="43732E78"/>
    <w:rsid w:val="43793E38"/>
    <w:rsid w:val="43811B04"/>
    <w:rsid w:val="438F5DCE"/>
    <w:rsid w:val="43A3234E"/>
    <w:rsid w:val="43A342D8"/>
    <w:rsid w:val="43AE2E0D"/>
    <w:rsid w:val="43B34D0B"/>
    <w:rsid w:val="43B52BC6"/>
    <w:rsid w:val="43C32F42"/>
    <w:rsid w:val="43C97B56"/>
    <w:rsid w:val="43CE13BE"/>
    <w:rsid w:val="43D25349"/>
    <w:rsid w:val="43D937EC"/>
    <w:rsid w:val="43DE5D0C"/>
    <w:rsid w:val="43E02455"/>
    <w:rsid w:val="43EC6B09"/>
    <w:rsid w:val="43FE5DB1"/>
    <w:rsid w:val="440067C9"/>
    <w:rsid w:val="44073A48"/>
    <w:rsid w:val="440F7E6A"/>
    <w:rsid w:val="44167D41"/>
    <w:rsid w:val="442147A2"/>
    <w:rsid w:val="44223E0E"/>
    <w:rsid w:val="442C4C7F"/>
    <w:rsid w:val="442D0AA5"/>
    <w:rsid w:val="443516B6"/>
    <w:rsid w:val="444F1108"/>
    <w:rsid w:val="44511999"/>
    <w:rsid w:val="445760CA"/>
    <w:rsid w:val="445953B8"/>
    <w:rsid w:val="44665051"/>
    <w:rsid w:val="44711679"/>
    <w:rsid w:val="447521B1"/>
    <w:rsid w:val="44875E7F"/>
    <w:rsid w:val="448D19A9"/>
    <w:rsid w:val="448E46F8"/>
    <w:rsid w:val="44906BF1"/>
    <w:rsid w:val="4492358A"/>
    <w:rsid w:val="44982C92"/>
    <w:rsid w:val="449C503F"/>
    <w:rsid w:val="449D6D76"/>
    <w:rsid w:val="44B21F69"/>
    <w:rsid w:val="44B44F90"/>
    <w:rsid w:val="44BC425D"/>
    <w:rsid w:val="44BE4D3E"/>
    <w:rsid w:val="44CD3295"/>
    <w:rsid w:val="44D57EE2"/>
    <w:rsid w:val="44DB2AB5"/>
    <w:rsid w:val="44DE04D4"/>
    <w:rsid w:val="44E9034C"/>
    <w:rsid w:val="44F215A8"/>
    <w:rsid w:val="44FA0E1F"/>
    <w:rsid w:val="44FD53A0"/>
    <w:rsid w:val="450C347C"/>
    <w:rsid w:val="450D614C"/>
    <w:rsid w:val="45116553"/>
    <w:rsid w:val="45206326"/>
    <w:rsid w:val="45423324"/>
    <w:rsid w:val="454E1331"/>
    <w:rsid w:val="455932E8"/>
    <w:rsid w:val="455A3F5B"/>
    <w:rsid w:val="455B0F64"/>
    <w:rsid w:val="45604017"/>
    <w:rsid w:val="45704792"/>
    <w:rsid w:val="45815A18"/>
    <w:rsid w:val="45952293"/>
    <w:rsid w:val="4595533A"/>
    <w:rsid w:val="4595753A"/>
    <w:rsid w:val="459B42F3"/>
    <w:rsid w:val="45A03CD6"/>
    <w:rsid w:val="45A30BB3"/>
    <w:rsid w:val="45B10667"/>
    <w:rsid w:val="45B422D4"/>
    <w:rsid w:val="45B52D2C"/>
    <w:rsid w:val="45BA5BB9"/>
    <w:rsid w:val="45CE3B4C"/>
    <w:rsid w:val="45D03EF8"/>
    <w:rsid w:val="45DF1526"/>
    <w:rsid w:val="45E124B2"/>
    <w:rsid w:val="45E45F0F"/>
    <w:rsid w:val="45E75834"/>
    <w:rsid w:val="45E9217D"/>
    <w:rsid w:val="45F30D3A"/>
    <w:rsid w:val="45F809DF"/>
    <w:rsid w:val="45FF46C9"/>
    <w:rsid w:val="46003ABE"/>
    <w:rsid w:val="46134FA2"/>
    <w:rsid w:val="461524F7"/>
    <w:rsid w:val="461E3141"/>
    <w:rsid w:val="46265E80"/>
    <w:rsid w:val="462B55EF"/>
    <w:rsid w:val="46333472"/>
    <w:rsid w:val="46394F31"/>
    <w:rsid w:val="463A3CFA"/>
    <w:rsid w:val="46532E46"/>
    <w:rsid w:val="46671256"/>
    <w:rsid w:val="46733FB6"/>
    <w:rsid w:val="467955D3"/>
    <w:rsid w:val="468E3B67"/>
    <w:rsid w:val="46936062"/>
    <w:rsid w:val="469778EA"/>
    <w:rsid w:val="46A74C79"/>
    <w:rsid w:val="46A75934"/>
    <w:rsid w:val="46A94AB1"/>
    <w:rsid w:val="46BB6376"/>
    <w:rsid w:val="46BF7718"/>
    <w:rsid w:val="46CD192D"/>
    <w:rsid w:val="46DB155E"/>
    <w:rsid w:val="46DB1E32"/>
    <w:rsid w:val="46DD4BEB"/>
    <w:rsid w:val="46DD4D21"/>
    <w:rsid w:val="46F109A8"/>
    <w:rsid w:val="471151D7"/>
    <w:rsid w:val="47177581"/>
    <w:rsid w:val="474D000E"/>
    <w:rsid w:val="474E6DEE"/>
    <w:rsid w:val="4756081E"/>
    <w:rsid w:val="477C0AE7"/>
    <w:rsid w:val="478B3ACA"/>
    <w:rsid w:val="478B51FC"/>
    <w:rsid w:val="47B068FC"/>
    <w:rsid w:val="47BA75CF"/>
    <w:rsid w:val="47C237A3"/>
    <w:rsid w:val="47D54EAC"/>
    <w:rsid w:val="47D73723"/>
    <w:rsid w:val="47E65A33"/>
    <w:rsid w:val="47F06768"/>
    <w:rsid w:val="48046339"/>
    <w:rsid w:val="48160455"/>
    <w:rsid w:val="48261984"/>
    <w:rsid w:val="482634B7"/>
    <w:rsid w:val="48285F33"/>
    <w:rsid w:val="482A2F5D"/>
    <w:rsid w:val="48343C6E"/>
    <w:rsid w:val="4843495F"/>
    <w:rsid w:val="48514723"/>
    <w:rsid w:val="48641329"/>
    <w:rsid w:val="48726106"/>
    <w:rsid w:val="48765DDB"/>
    <w:rsid w:val="487A5258"/>
    <w:rsid w:val="48802E8C"/>
    <w:rsid w:val="4884303D"/>
    <w:rsid w:val="488940B8"/>
    <w:rsid w:val="488A752D"/>
    <w:rsid w:val="488C7BDA"/>
    <w:rsid w:val="48924C2F"/>
    <w:rsid w:val="489B3890"/>
    <w:rsid w:val="489E0F6F"/>
    <w:rsid w:val="48A030A4"/>
    <w:rsid w:val="48A93172"/>
    <w:rsid w:val="48B7143C"/>
    <w:rsid w:val="48B91829"/>
    <w:rsid w:val="48B92384"/>
    <w:rsid w:val="48C37E6D"/>
    <w:rsid w:val="48C61083"/>
    <w:rsid w:val="48C7367E"/>
    <w:rsid w:val="48CA4280"/>
    <w:rsid w:val="48CD74D8"/>
    <w:rsid w:val="48CF73FA"/>
    <w:rsid w:val="48D173B8"/>
    <w:rsid w:val="48F869C3"/>
    <w:rsid w:val="48FC4177"/>
    <w:rsid w:val="49016D44"/>
    <w:rsid w:val="4902441E"/>
    <w:rsid w:val="491A084B"/>
    <w:rsid w:val="491D2FE5"/>
    <w:rsid w:val="491D4E75"/>
    <w:rsid w:val="49263C8E"/>
    <w:rsid w:val="4928270E"/>
    <w:rsid w:val="49293A04"/>
    <w:rsid w:val="492A337A"/>
    <w:rsid w:val="4930480C"/>
    <w:rsid w:val="493C2A90"/>
    <w:rsid w:val="49456040"/>
    <w:rsid w:val="4947267A"/>
    <w:rsid w:val="49526C8B"/>
    <w:rsid w:val="49575078"/>
    <w:rsid w:val="495D79CB"/>
    <w:rsid w:val="4962179E"/>
    <w:rsid w:val="49624E42"/>
    <w:rsid w:val="496A3B11"/>
    <w:rsid w:val="497A4E39"/>
    <w:rsid w:val="4985305E"/>
    <w:rsid w:val="49874010"/>
    <w:rsid w:val="498D603A"/>
    <w:rsid w:val="49973E8B"/>
    <w:rsid w:val="49A46998"/>
    <w:rsid w:val="49B40BB7"/>
    <w:rsid w:val="49B73FFC"/>
    <w:rsid w:val="49B77E13"/>
    <w:rsid w:val="49BA09DD"/>
    <w:rsid w:val="49BB2EF2"/>
    <w:rsid w:val="49CA1C90"/>
    <w:rsid w:val="49D11BB5"/>
    <w:rsid w:val="49DE736B"/>
    <w:rsid w:val="49E61A93"/>
    <w:rsid w:val="49EC5081"/>
    <w:rsid w:val="49F12780"/>
    <w:rsid w:val="49F92964"/>
    <w:rsid w:val="49FC2EDC"/>
    <w:rsid w:val="4A062298"/>
    <w:rsid w:val="4A087D32"/>
    <w:rsid w:val="4A0919B5"/>
    <w:rsid w:val="4A0A0909"/>
    <w:rsid w:val="4A1A2584"/>
    <w:rsid w:val="4A1A6BBA"/>
    <w:rsid w:val="4A3B5258"/>
    <w:rsid w:val="4A4E3365"/>
    <w:rsid w:val="4A5362A8"/>
    <w:rsid w:val="4A5438FD"/>
    <w:rsid w:val="4A6135B0"/>
    <w:rsid w:val="4A6D7ABE"/>
    <w:rsid w:val="4A7D1C6B"/>
    <w:rsid w:val="4A824992"/>
    <w:rsid w:val="4A83685D"/>
    <w:rsid w:val="4A8450E5"/>
    <w:rsid w:val="4AA24AC6"/>
    <w:rsid w:val="4AAB4FE7"/>
    <w:rsid w:val="4AB469C8"/>
    <w:rsid w:val="4ABB5B47"/>
    <w:rsid w:val="4ACE0864"/>
    <w:rsid w:val="4AD0667C"/>
    <w:rsid w:val="4AD420F1"/>
    <w:rsid w:val="4AD619F8"/>
    <w:rsid w:val="4AD67BBF"/>
    <w:rsid w:val="4AD818BF"/>
    <w:rsid w:val="4AE27A62"/>
    <w:rsid w:val="4AE3237E"/>
    <w:rsid w:val="4AEA04BB"/>
    <w:rsid w:val="4AEC205D"/>
    <w:rsid w:val="4AF6071C"/>
    <w:rsid w:val="4AF674F2"/>
    <w:rsid w:val="4AFB5B56"/>
    <w:rsid w:val="4B067AE1"/>
    <w:rsid w:val="4B0C77CE"/>
    <w:rsid w:val="4B1278B1"/>
    <w:rsid w:val="4B1B2754"/>
    <w:rsid w:val="4B285ADE"/>
    <w:rsid w:val="4B2F02E1"/>
    <w:rsid w:val="4B3207BC"/>
    <w:rsid w:val="4B3A77FB"/>
    <w:rsid w:val="4B420FDD"/>
    <w:rsid w:val="4B431541"/>
    <w:rsid w:val="4B432624"/>
    <w:rsid w:val="4B59690B"/>
    <w:rsid w:val="4B864D16"/>
    <w:rsid w:val="4B8A111C"/>
    <w:rsid w:val="4B8D7F7C"/>
    <w:rsid w:val="4B935731"/>
    <w:rsid w:val="4B946297"/>
    <w:rsid w:val="4BB0001D"/>
    <w:rsid w:val="4BCA1D44"/>
    <w:rsid w:val="4BCD1A0B"/>
    <w:rsid w:val="4BE9256F"/>
    <w:rsid w:val="4C054B90"/>
    <w:rsid w:val="4C065348"/>
    <w:rsid w:val="4C091AB2"/>
    <w:rsid w:val="4C0F1B6F"/>
    <w:rsid w:val="4C104D11"/>
    <w:rsid w:val="4C1058DD"/>
    <w:rsid w:val="4C184D41"/>
    <w:rsid w:val="4C1F2AAF"/>
    <w:rsid w:val="4C277E96"/>
    <w:rsid w:val="4C297118"/>
    <w:rsid w:val="4C31630B"/>
    <w:rsid w:val="4C372104"/>
    <w:rsid w:val="4C3F61A7"/>
    <w:rsid w:val="4C4125BE"/>
    <w:rsid w:val="4C450E5D"/>
    <w:rsid w:val="4C5A7CAB"/>
    <w:rsid w:val="4C687FF3"/>
    <w:rsid w:val="4C6D440F"/>
    <w:rsid w:val="4C7A6658"/>
    <w:rsid w:val="4C7E349B"/>
    <w:rsid w:val="4C8A46A7"/>
    <w:rsid w:val="4C8B32F1"/>
    <w:rsid w:val="4C8D7854"/>
    <w:rsid w:val="4C900FC1"/>
    <w:rsid w:val="4CB04922"/>
    <w:rsid w:val="4CB30BC8"/>
    <w:rsid w:val="4CB30FE5"/>
    <w:rsid w:val="4CBE4932"/>
    <w:rsid w:val="4CC062F3"/>
    <w:rsid w:val="4CCF1B84"/>
    <w:rsid w:val="4CD33B34"/>
    <w:rsid w:val="4CDE6C51"/>
    <w:rsid w:val="4CE60D87"/>
    <w:rsid w:val="4CF41BFE"/>
    <w:rsid w:val="4CFC4C38"/>
    <w:rsid w:val="4CFF642D"/>
    <w:rsid w:val="4D005A19"/>
    <w:rsid w:val="4D0267F4"/>
    <w:rsid w:val="4D0829A8"/>
    <w:rsid w:val="4D0E5BBE"/>
    <w:rsid w:val="4D1779E8"/>
    <w:rsid w:val="4D1E66A6"/>
    <w:rsid w:val="4D226093"/>
    <w:rsid w:val="4D457128"/>
    <w:rsid w:val="4D483972"/>
    <w:rsid w:val="4D4E0925"/>
    <w:rsid w:val="4D4E140A"/>
    <w:rsid w:val="4D5106A2"/>
    <w:rsid w:val="4D5B39A9"/>
    <w:rsid w:val="4D600525"/>
    <w:rsid w:val="4D6171A9"/>
    <w:rsid w:val="4D662F0C"/>
    <w:rsid w:val="4D673DB9"/>
    <w:rsid w:val="4D6C5202"/>
    <w:rsid w:val="4D720028"/>
    <w:rsid w:val="4D7C21E2"/>
    <w:rsid w:val="4D7D4677"/>
    <w:rsid w:val="4D7F759C"/>
    <w:rsid w:val="4D896BAF"/>
    <w:rsid w:val="4D921F76"/>
    <w:rsid w:val="4D93276D"/>
    <w:rsid w:val="4D971E47"/>
    <w:rsid w:val="4DA413FF"/>
    <w:rsid w:val="4DA415D9"/>
    <w:rsid w:val="4DAB3423"/>
    <w:rsid w:val="4DAE2008"/>
    <w:rsid w:val="4DB24DF6"/>
    <w:rsid w:val="4DB3753C"/>
    <w:rsid w:val="4DB417DF"/>
    <w:rsid w:val="4DB74BF7"/>
    <w:rsid w:val="4DB80685"/>
    <w:rsid w:val="4DCE5F4C"/>
    <w:rsid w:val="4DEC52F2"/>
    <w:rsid w:val="4DF8403C"/>
    <w:rsid w:val="4DFC640D"/>
    <w:rsid w:val="4E030AEA"/>
    <w:rsid w:val="4E0F4D79"/>
    <w:rsid w:val="4E277D26"/>
    <w:rsid w:val="4E2A6FE5"/>
    <w:rsid w:val="4E324379"/>
    <w:rsid w:val="4E352A9C"/>
    <w:rsid w:val="4E3615A7"/>
    <w:rsid w:val="4E361B6D"/>
    <w:rsid w:val="4E386778"/>
    <w:rsid w:val="4E4A3FBA"/>
    <w:rsid w:val="4E4B415D"/>
    <w:rsid w:val="4E61657A"/>
    <w:rsid w:val="4E710E5C"/>
    <w:rsid w:val="4E7E59C0"/>
    <w:rsid w:val="4E81269C"/>
    <w:rsid w:val="4E8E12B1"/>
    <w:rsid w:val="4E975CCA"/>
    <w:rsid w:val="4E9C403B"/>
    <w:rsid w:val="4EA82617"/>
    <w:rsid w:val="4EAF224E"/>
    <w:rsid w:val="4EB574F8"/>
    <w:rsid w:val="4EBC2C07"/>
    <w:rsid w:val="4EC36056"/>
    <w:rsid w:val="4EC760CD"/>
    <w:rsid w:val="4ECB3484"/>
    <w:rsid w:val="4ED94C5E"/>
    <w:rsid w:val="4EDC62BD"/>
    <w:rsid w:val="4EE44F81"/>
    <w:rsid w:val="4EE4798A"/>
    <w:rsid w:val="4EE626BA"/>
    <w:rsid w:val="4EEB1CED"/>
    <w:rsid w:val="4EFA420F"/>
    <w:rsid w:val="4EFB11DF"/>
    <w:rsid w:val="4EFB377E"/>
    <w:rsid w:val="4EFF67F2"/>
    <w:rsid w:val="4F0F7757"/>
    <w:rsid w:val="4F150B75"/>
    <w:rsid w:val="4F163663"/>
    <w:rsid w:val="4F1C22BD"/>
    <w:rsid w:val="4F1C6E11"/>
    <w:rsid w:val="4F1E0A50"/>
    <w:rsid w:val="4F207B29"/>
    <w:rsid w:val="4F2365F6"/>
    <w:rsid w:val="4F2A4EC1"/>
    <w:rsid w:val="4F2C3CB1"/>
    <w:rsid w:val="4F332D3A"/>
    <w:rsid w:val="4F3363A7"/>
    <w:rsid w:val="4F34334A"/>
    <w:rsid w:val="4F475B51"/>
    <w:rsid w:val="4F480E4C"/>
    <w:rsid w:val="4F612E30"/>
    <w:rsid w:val="4F615856"/>
    <w:rsid w:val="4F6F621F"/>
    <w:rsid w:val="4F6F6FB6"/>
    <w:rsid w:val="4F7D308D"/>
    <w:rsid w:val="4F864F41"/>
    <w:rsid w:val="4F873904"/>
    <w:rsid w:val="4F90024E"/>
    <w:rsid w:val="4F934BD1"/>
    <w:rsid w:val="4F993FCC"/>
    <w:rsid w:val="4F9E14E6"/>
    <w:rsid w:val="4F9E5CAD"/>
    <w:rsid w:val="4FA832C0"/>
    <w:rsid w:val="4FB33796"/>
    <w:rsid w:val="4FB813CB"/>
    <w:rsid w:val="4FBD37D7"/>
    <w:rsid w:val="4FD23F53"/>
    <w:rsid w:val="4FE70A00"/>
    <w:rsid w:val="4FE720BD"/>
    <w:rsid w:val="4FE778A0"/>
    <w:rsid w:val="50031D93"/>
    <w:rsid w:val="50037BCE"/>
    <w:rsid w:val="50037F41"/>
    <w:rsid w:val="500E5CE5"/>
    <w:rsid w:val="500F67B4"/>
    <w:rsid w:val="50115149"/>
    <w:rsid w:val="502B45FC"/>
    <w:rsid w:val="503A3B82"/>
    <w:rsid w:val="503C5EB0"/>
    <w:rsid w:val="50514C1C"/>
    <w:rsid w:val="50527B09"/>
    <w:rsid w:val="505A1FF9"/>
    <w:rsid w:val="505D69A6"/>
    <w:rsid w:val="506E2B30"/>
    <w:rsid w:val="506F6AAD"/>
    <w:rsid w:val="50770645"/>
    <w:rsid w:val="50775342"/>
    <w:rsid w:val="50811B7B"/>
    <w:rsid w:val="50931AFE"/>
    <w:rsid w:val="5093597A"/>
    <w:rsid w:val="50983437"/>
    <w:rsid w:val="50AD2A1F"/>
    <w:rsid w:val="50CB337E"/>
    <w:rsid w:val="50CF0B69"/>
    <w:rsid w:val="50D20D94"/>
    <w:rsid w:val="50D36092"/>
    <w:rsid w:val="50DA24D6"/>
    <w:rsid w:val="50DC2B5E"/>
    <w:rsid w:val="50E35007"/>
    <w:rsid w:val="50F30F92"/>
    <w:rsid w:val="50F365E0"/>
    <w:rsid w:val="50F53AF1"/>
    <w:rsid w:val="51066B99"/>
    <w:rsid w:val="5107553B"/>
    <w:rsid w:val="5115268F"/>
    <w:rsid w:val="511575E7"/>
    <w:rsid w:val="51196D64"/>
    <w:rsid w:val="512E6BD7"/>
    <w:rsid w:val="513E1FC2"/>
    <w:rsid w:val="5144761D"/>
    <w:rsid w:val="5148519A"/>
    <w:rsid w:val="514B301B"/>
    <w:rsid w:val="51542293"/>
    <w:rsid w:val="51565874"/>
    <w:rsid w:val="515975C0"/>
    <w:rsid w:val="515F38FA"/>
    <w:rsid w:val="51667204"/>
    <w:rsid w:val="51670296"/>
    <w:rsid w:val="516717C4"/>
    <w:rsid w:val="516B5761"/>
    <w:rsid w:val="517E00F0"/>
    <w:rsid w:val="5184401E"/>
    <w:rsid w:val="51943AAA"/>
    <w:rsid w:val="51A14D8A"/>
    <w:rsid w:val="51B00BF1"/>
    <w:rsid w:val="51B60511"/>
    <w:rsid w:val="51BB7B4F"/>
    <w:rsid w:val="51C2466A"/>
    <w:rsid w:val="51DD41F3"/>
    <w:rsid w:val="51EB1612"/>
    <w:rsid w:val="51EF4DB5"/>
    <w:rsid w:val="51F55024"/>
    <w:rsid w:val="5201327D"/>
    <w:rsid w:val="52104DDF"/>
    <w:rsid w:val="522F1506"/>
    <w:rsid w:val="5234212A"/>
    <w:rsid w:val="523D2419"/>
    <w:rsid w:val="523F5ED5"/>
    <w:rsid w:val="52574377"/>
    <w:rsid w:val="525B0838"/>
    <w:rsid w:val="526819C8"/>
    <w:rsid w:val="52754056"/>
    <w:rsid w:val="527C3FF3"/>
    <w:rsid w:val="52874272"/>
    <w:rsid w:val="528A7E23"/>
    <w:rsid w:val="529464C3"/>
    <w:rsid w:val="529D4639"/>
    <w:rsid w:val="52A50E75"/>
    <w:rsid w:val="52A922E7"/>
    <w:rsid w:val="52B34242"/>
    <w:rsid w:val="52B565F9"/>
    <w:rsid w:val="52BC2B39"/>
    <w:rsid w:val="52BD7DAA"/>
    <w:rsid w:val="52C17CEE"/>
    <w:rsid w:val="52C44B35"/>
    <w:rsid w:val="52CE6E26"/>
    <w:rsid w:val="52D4455E"/>
    <w:rsid w:val="52D73B67"/>
    <w:rsid w:val="52E355E8"/>
    <w:rsid w:val="52EB5146"/>
    <w:rsid w:val="52FA02DA"/>
    <w:rsid w:val="53030D15"/>
    <w:rsid w:val="53140EC7"/>
    <w:rsid w:val="5320407C"/>
    <w:rsid w:val="53213666"/>
    <w:rsid w:val="5324209A"/>
    <w:rsid w:val="53266E12"/>
    <w:rsid w:val="532A331B"/>
    <w:rsid w:val="532B5C57"/>
    <w:rsid w:val="53315181"/>
    <w:rsid w:val="5338101F"/>
    <w:rsid w:val="533E5926"/>
    <w:rsid w:val="534105ED"/>
    <w:rsid w:val="53641F8A"/>
    <w:rsid w:val="53677F32"/>
    <w:rsid w:val="536A15E9"/>
    <w:rsid w:val="536F714D"/>
    <w:rsid w:val="53806381"/>
    <w:rsid w:val="538722F9"/>
    <w:rsid w:val="53921506"/>
    <w:rsid w:val="53933D76"/>
    <w:rsid w:val="53983BB8"/>
    <w:rsid w:val="539A2D0E"/>
    <w:rsid w:val="539C6F9E"/>
    <w:rsid w:val="53A7060F"/>
    <w:rsid w:val="53AE0A13"/>
    <w:rsid w:val="53BA6A76"/>
    <w:rsid w:val="53BD7C3A"/>
    <w:rsid w:val="53BE2D0E"/>
    <w:rsid w:val="53C26860"/>
    <w:rsid w:val="53CD6A17"/>
    <w:rsid w:val="53DE0F37"/>
    <w:rsid w:val="53DF5C6A"/>
    <w:rsid w:val="53E727DD"/>
    <w:rsid w:val="53EA16F2"/>
    <w:rsid w:val="53ED6A06"/>
    <w:rsid w:val="53F315F6"/>
    <w:rsid w:val="53FB4B08"/>
    <w:rsid w:val="53FB6AE7"/>
    <w:rsid w:val="53FD721B"/>
    <w:rsid w:val="54030A05"/>
    <w:rsid w:val="540728A3"/>
    <w:rsid w:val="5409075A"/>
    <w:rsid w:val="540C02AA"/>
    <w:rsid w:val="540C5D56"/>
    <w:rsid w:val="540E0B80"/>
    <w:rsid w:val="54113338"/>
    <w:rsid w:val="54294E56"/>
    <w:rsid w:val="54362D54"/>
    <w:rsid w:val="5439051F"/>
    <w:rsid w:val="543A7E24"/>
    <w:rsid w:val="544347E8"/>
    <w:rsid w:val="54434A34"/>
    <w:rsid w:val="54442F39"/>
    <w:rsid w:val="54554BEE"/>
    <w:rsid w:val="54631517"/>
    <w:rsid w:val="547353D3"/>
    <w:rsid w:val="547561B2"/>
    <w:rsid w:val="547907CF"/>
    <w:rsid w:val="547D50AD"/>
    <w:rsid w:val="549528B9"/>
    <w:rsid w:val="54A00E45"/>
    <w:rsid w:val="54A613EC"/>
    <w:rsid w:val="54A834E3"/>
    <w:rsid w:val="54B2567B"/>
    <w:rsid w:val="54BD12DC"/>
    <w:rsid w:val="54BF10E9"/>
    <w:rsid w:val="54CF2B22"/>
    <w:rsid w:val="54D038C9"/>
    <w:rsid w:val="54DB52D6"/>
    <w:rsid w:val="54DB7EF6"/>
    <w:rsid w:val="54EA7F84"/>
    <w:rsid w:val="54ED4DCE"/>
    <w:rsid w:val="54FA2ED1"/>
    <w:rsid w:val="54FB63AD"/>
    <w:rsid w:val="551B19F3"/>
    <w:rsid w:val="55280416"/>
    <w:rsid w:val="5531035B"/>
    <w:rsid w:val="553C1072"/>
    <w:rsid w:val="553D0930"/>
    <w:rsid w:val="554E444D"/>
    <w:rsid w:val="555B40E5"/>
    <w:rsid w:val="5566658B"/>
    <w:rsid w:val="55696243"/>
    <w:rsid w:val="556E7977"/>
    <w:rsid w:val="55846F0C"/>
    <w:rsid w:val="55857D79"/>
    <w:rsid w:val="558E04E4"/>
    <w:rsid w:val="558F6089"/>
    <w:rsid w:val="55966ACB"/>
    <w:rsid w:val="559702F9"/>
    <w:rsid w:val="559813CA"/>
    <w:rsid w:val="55A31B64"/>
    <w:rsid w:val="55AD4BB3"/>
    <w:rsid w:val="55B01AA7"/>
    <w:rsid w:val="55BA220D"/>
    <w:rsid w:val="55BB7620"/>
    <w:rsid w:val="55C3524B"/>
    <w:rsid w:val="55C401E8"/>
    <w:rsid w:val="55C4395B"/>
    <w:rsid w:val="55C84F6B"/>
    <w:rsid w:val="55CE7C03"/>
    <w:rsid w:val="55D4010C"/>
    <w:rsid w:val="55D95B3A"/>
    <w:rsid w:val="55DB4D41"/>
    <w:rsid w:val="55DD7948"/>
    <w:rsid w:val="55E81558"/>
    <w:rsid w:val="55ED0BBC"/>
    <w:rsid w:val="55F83AFC"/>
    <w:rsid w:val="56096419"/>
    <w:rsid w:val="560F7614"/>
    <w:rsid w:val="561C2AD3"/>
    <w:rsid w:val="561D3124"/>
    <w:rsid w:val="56242342"/>
    <w:rsid w:val="562B7CA4"/>
    <w:rsid w:val="564C7E4B"/>
    <w:rsid w:val="56526EF6"/>
    <w:rsid w:val="5655623B"/>
    <w:rsid w:val="565A7684"/>
    <w:rsid w:val="565A7ABF"/>
    <w:rsid w:val="565B30AD"/>
    <w:rsid w:val="565F6C26"/>
    <w:rsid w:val="567B1EBF"/>
    <w:rsid w:val="56805849"/>
    <w:rsid w:val="568B0FAC"/>
    <w:rsid w:val="568B1BBE"/>
    <w:rsid w:val="568E6209"/>
    <w:rsid w:val="56AF10CB"/>
    <w:rsid w:val="56BF3DA2"/>
    <w:rsid w:val="56C10A03"/>
    <w:rsid w:val="56CD4F87"/>
    <w:rsid w:val="56D873CC"/>
    <w:rsid w:val="56DD0842"/>
    <w:rsid w:val="56E274FC"/>
    <w:rsid w:val="56E700DA"/>
    <w:rsid w:val="56E929A7"/>
    <w:rsid w:val="56F1617B"/>
    <w:rsid w:val="56F47D63"/>
    <w:rsid w:val="56F968BE"/>
    <w:rsid w:val="56FB7D57"/>
    <w:rsid w:val="57023D2C"/>
    <w:rsid w:val="570723FE"/>
    <w:rsid w:val="572332AC"/>
    <w:rsid w:val="572824B0"/>
    <w:rsid w:val="57312173"/>
    <w:rsid w:val="57384F32"/>
    <w:rsid w:val="57502131"/>
    <w:rsid w:val="575E2F66"/>
    <w:rsid w:val="57683C5C"/>
    <w:rsid w:val="576A51B8"/>
    <w:rsid w:val="5771508A"/>
    <w:rsid w:val="57723CE9"/>
    <w:rsid w:val="5774374C"/>
    <w:rsid w:val="577E15AC"/>
    <w:rsid w:val="578248CE"/>
    <w:rsid w:val="578523F5"/>
    <w:rsid w:val="57910904"/>
    <w:rsid w:val="579A45BF"/>
    <w:rsid w:val="57A714CF"/>
    <w:rsid w:val="57AD74D2"/>
    <w:rsid w:val="57B969E5"/>
    <w:rsid w:val="57C05959"/>
    <w:rsid w:val="57C2449E"/>
    <w:rsid w:val="57C25890"/>
    <w:rsid w:val="57CC5188"/>
    <w:rsid w:val="57D9441E"/>
    <w:rsid w:val="57DC745F"/>
    <w:rsid w:val="57DE6B6D"/>
    <w:rsid w:val="57ED7FC8"/>
    <w:rsid w:val="57F163DD"/>
    <w:rsid w:val="57F2688B"/>
    <w:rsid w:val="57F847A9"/>
    <w:rsid w:val="57F9728F"/>
    <w:rsid w:val="58090AF2"/>
    <w:rsid w:val="580D258A"/>
    <w:rsid w:val="581D2619"/>
    <w:rsid w:val="5825764D"/>
    <w:rsid w:val="582C1622"/>
    <w:rsid w:val="582E1203"/>
    <w:rsid w:val="58390E12"/>
    <w:rsid w:val="5849037B"/>
    <w:rsid w:val="584A09C6"/>
    <w:rsid w:val="584B50A1"/>
    <w:rsid w:val="585301C0"/>
    <w:rsid w:val="585623D1"/>
    <w:rsid w:val="585C30EC"/>
    <w:rsid w:val="585E025F"/>
    <w:rsid w:val="58642D4C"/>
    <w:rsid w:val="5865560F"/>
    <w:rsid w:val="587C7F8D"/>
    <w:rsid w:val="58885EA4"/>
    <w:rsid w:val="588C12BF"/>
    <w:rsid w:val="588F40A7"/>
    <w:rsid w:val="589F5FAE"/>
    <w:rsid w:val="58A033D1"/>
    <w:rsid w:val="58A61464"/>
    <w:rsid w:val="58A87DB5"/>
    <w:rsid w:val="58C370EF"/>
    <w:rsid w:val="58CC52DD"/>
    <w:rsid w:val="58CD2F96"/>
    <w:rsid w:val="58D43CD3"/>
    <w:rsid w:val="58D74881"/>
    <w:rsid w:val="58DB1C06"/>
    <w:rsid w:val="58E23051"/>
    <w:rsid w:val="58E5366B"/>
    <w:rsid w:val="58E56358"/>
    <w:rsid w:val="58EB3E72"/>
    <w:rsid w:val="58FD74A5"/>
    <w:rsid w:val="58FE29E8"/>
    <w:rsid w:val="590029F9"/>
    <w:rsid w:val="59031B36"/>
    <w:rsid w:val="59032CDE"/>
    <w:rsid w:val="59056B45"/>
    <w:rsid w:val="59216756"/>
    <w:rsid w:val="594313FB"/>
    <w:rsid w:val="5949402F"/>
    <w:rsid w:val="594D669F"/>
    <w:rsid w:val="594F41F4"/>
    <w:rsid w:val="595529B5"/>
    <w:rsid w:val="596B5651"/>
    <w:rsid w:val="59741D17"/>
    <w:rsid w:val="597434E6"/>
    <w:rsid w:val="597A66A5"/>
    <w:rsid w:val="59936452"/>
    <w:rsid w:val="599E2608"/>
    <w:rsid w:val="59A0270D"/>
    <w:rsid w:val="59A414C7"/>
    <w:rsid w:val="59AD4CC6"/>
    <w:rsid w:val="59AF63E8"/>
    <w:rsid w:val="59B747B0"/>
    <w:rsid w:val="59B935B4"/>
    <w:rsid w:val="59BB0AC6"/>
    <w:rsid w:val="59CB2281"/>
    <w:rsid w:val="59D02384"/>
    <w:rsid w:val="59DE2BB8"/>
    <w:rsid w:val="59DE49FC"/>
    <w:rsid w:val="59E14949"/>
    <w:rsid w:val="59ED37B0"/>
    <w:rsid w:val="59EE367F"/>
    <w:rsid w:val="59F12FE3"/>
    <w:rsid w:val="59FB27AA"/>
    <w:rsid w:val="5A047D73"/>
    <w:rsid w:val="5A1A459C"/>
    <w:rsid w:val="5A1F005A"/>
    <w:rsid w:val="5A32261F"/>
    <w:rsid w:val="5A3D2472"/>
    <w:rsid w:val="5A414CC5"/>
    <w:rsid w:val="5A44027D"/>
    <w:rsid w:val="5A473261"/>
    <w:rsid w:val="5A591A73"/>
    <w:rsid w:val="5A5E77DC"/>
    <w:rsid w:val="5A610BFB"/>
    <w:rsid w:val="5A6640E9"/>
    <w:rsid w:val="5A6C559A"/>
    <w:rsid w:val="5A6F39CD"/>
    <w:rsid w:val="5A7075CC"/>
    <w:rsid w:val="5A8A15ED"/>
    <w:rsid w:val="5A916BC8"/>
    <w:rsid w:val="5A9538E2"/>
    <w:rsid w:val="5A9B43C0"/>
    <w:rsid w:val="5AA37666"/>
    <w:rsid w:val="5AB039F9"/>
    <w:rsid w:val="5AB679FF"/>
    <w:rsid w:val="5ABF5984"/>
    <w:rsid w:val="5AC27426"/>
    <w:rsid w:val="5ACB04D1"/>
    <w:rsid w:val="5ADB66F9"/>
    <w:rsid w:val="5AE02EC6"/>
    <w:rsid w:val="5AE1131E"/>
    <w:rsid w:val="5AE517F0"/>
    <w:rsid w:val="5B0E1A51"/>
    <w:rsid w:val="5B154949"/>
    <w:rsid w:val="5B166AFC"/>
    <w:rsid w:val="5B3507C5"/>
    <w:rsid w:val="5B3F3479"/>
    <w:rsid w:val="5B415C02"/>
    <w:rsid w:val="5B4368C9"/>
    <w:rsid w:val="5B445180"/>
    <w:rsid w:val="5B4D41D1"/>
    <w:rsid w:val="5B625D3F"/>
    <w:rsid w:val="5B653583"/>
    <w:rsid w:val="5B6F0879"/>
    <w:rsid w:val="5B7567BE"/>
    <w:rsid w:val="5B7642E2"/>
    <w:rsid w:val="5B7A7DD0"/>
    <w:rsid w:val="5B921C1D"/>
    <w:rsid w:val="5B932549"/>
    <w:rsid w:val="5B935AB5"/>
    <w:rsid w:val="5BA049A7"/>
    <w:rsid w:val="5BAC6105"/>
    <w:rsid w:val="5BAE1DF1"/>
    <w:rsid w:val="5BC509B8"/>
    <w:rsid w:val="5BC7657C"/>
    <w:rsid w:val="5BC8023B"/>
    <w:rsid w:val="5BDC0332"/>
    <w:rsid w:val="5BE05644"/>
    <w:rsid w:val="5BEC4B97"/>
    <w:rsid w:val="5BFE3BEA"/>
    <w:rsid w:val="5C0F2236"/>
    <w:rsid w:val="5C1556F6"/>
    <w:rsid w:val="5C19476B"/>
    <w:rsid w:val="5C1A5500"/>
    <w:rsid w:val="5C1E08E3"/>
    <w:rsid w:val="5C2210F7"/>
    <w:rsid w:val="5C28486D"/>
    <w:rsid w:val="5C2F2354"/>
    <w:rsid w:val="5C3F0EBE"/>
    <w:rsid w:val="5C493261"/>
    <w:rsid w:val="5C4C0029"/>
    <w:rsid w:val="5C540C20"/>
    <w:rsid w:val="5C63395F"/>
    <w:rsid w:val="5C7040ED"/>
    <w:rsid w:val="5C705650"/>
    <w:rsid w:val="5C7953A1"/>
    <w:rsid w:val="5C7C6BED"/>
    <w:rsid w:val="5C980121"/>
    <w:rsid w:val="5C9C425A"/>
    <w:rsid w:val="5CB07C43"/>
    <w:rsid w:val="5CB272A4"/>
    <w:rsid w:val="5CBC01EA"/>
    <w:rsid w:val="5CD97BA0"/>
    <w:rsid w:val="5CE544FE"/>
    <w:rsid w:val="5CEC0405"/>
    <w:rsid w:val="5CEC4B10"/>
    <w:rsid w:val="5CED4BC4"/>
    <w:rsid w:val="5CF24407"/>
    <w:rsid w:val="5CF514DE"/>
    <w:rsid w:val="5CF722D6"/>
    <w:rsid w:val="5CFB06FE"/>
    <w:rsid w:val="5CFE14B6"/>
    <w:rsid w:val="5D01095C"/>
    <w:rsid w:val="5D01770B"/>
    <w:rsid w:val="5D0D54CC"/>
    <w:rsid w:val="5D1216CC"/>
    <w:rsid w:val="5D1B6AC2"/>
    <w:rsid w:val="5D2E6485"/>
    <w:rsid w:val="5D372B22"/>
    <w:rsid w:val="5D3C6730"/>
    <w:rsid w:val="5D430C3A"/>
    <w:rsid w:val="5D4800F7"/>
    <w:rsid w:val="5D4D4FDF"/>
    <w:rsid w:val="5D5F32C1"/>
    <w:rsid w:val="5D644128"/>
    <w:rsid w:val="5D6527B6"/>
    <w:rsid w:val="5D725133"/>
    <w:rsid w:val="5D7B2D26"/>
    <w:rsid w:val="5D7C5E9C"/>
    <w:rsid w:val="5D7F656E"/>
    <w:rsid w:val="5D9303BA"/>
    <w:rsid w:val="5D9468BF"/>
    <w:rsid w:val="5D946C25"/>
    <w:rsid w:val="5D982C48"/>
    <w:rsid w:val="5DA76894"/>
    <w:rsid w:val="5DAE7B5F"/>
    <w:rsid w:val="5DB17CCE"/>
    <w:rsid w:val="5DB347B4"/>
    <w:rsid w:val="5DB61136"/>
    <w:rsid w:val="5DBB4401"/>
    <w:rsid w:val="5DC7406E"/>
    <w:rsid w:val="5DD67E32"/>
    <w:rsid w:val="5DEB6B6E"/>
    <w:rsid w:val="5DEE2132"/>
    <w:rsid w:val="5DEF5103"/>
    <w:rsid w:val="5DF94120"/>
    <w:rsid w:val="5DFA7198"/>
    <w:rsid w:val="5E0C705C"/>
    <w:rsid w:val="5E0D271C"/>
    <w:rsid w:val="5E145B57"/>
    <w:rsid w:val="5E1D727A"/>
    <w:rsid w:val="5E1E4F2B"/>
    <w:rsid w:val="5E2322A3"/>
    <w:rsid w:val="5E2E0A3E"/>
    <w:rsid w:val="5E2F6CA4"/>
    <w:rsid w:val="5E372AE9"/>
    <w:rsid w:val="5E410513"/>
    <w:rsid w:val="5E4C0165"/>
    <w:rsid w:val="5E4D01B7"/>
    <w:rsid w:val="5E543A5F"/>
    <w:rsid w:val="5E555EF9"/>
    <w:rsid w:val="5E5E33EF"/>
    <w:rsid w:val="5E6A1142"/>
    <w:rsid w:val="5E6F372D"/>
    <w:rsid w:val="5E7156F9"/>
    <w:rsid w:val="5E770F2B"/>
    <w:rsid w:val="5E7D5C44"/>
    <w:rsid w:val="5E7E57B6"/>
    <w:rsid w:val="5E867C15"/>
    <w:rsid w:val="5E884035"/>
    <w:rsid w:val="5E8C2D27"/>
    <w:rsid w:val="5E9920CE"/>
    <w:rsid w:val="5E9A2006"/>
    <w:rsid w:val="5E9C6FA8"/>
    <w:rsid w:val="5EAB2D0F"/>
    <w:rsid w:val="5EB81B21"/>
    <w:rsid w:val="5EBD54E1"/>
    <w:rsid w:val="5EC02201"/>
    <w:rsid w:val="5EC05DA4"/>
    <w:rsid w:val="5EC57012"/>
    <w:rsid w:val="5EE271B3"/>
    <w:rsid w:val="5EE31F4E"/>
    <w:rsid w:val="5EE91298"/>
    <w:rsid w:val="5EEB3B29"/>
    <w:rsid w:val="5EF2799D"/>
    <w:rsid w:val="5EF50FD4"/>
    <w:rsid w:val="5EF55A5C"/>
    <w:rsid w:val="5EF614CD"/>
    <w:rsid w:val="5EFD198E"/>
    <w:rsid w:val="5F050A54"/>
    <w:rsid w:val="5F0A7D16"/>
    <w:rsid w:val="5F0C5BCA"/>
    <w:rsid w:val="5F123FE3"/>
    <w:rsid w:val="5F207AC9"/>
    <w:rsid w:val="5F216BAC"/>
    <w:rsid w:val="5F220CB1"/>
    <w:rsid w:val="5F282486"/>
    <w:rsid w:val="5F294A3A"/>
    <w:rsid w:val="5F3659FF"/>
    <w:rsid w:val="5F3E2A4E"/>
    <w:rsid w:val="5F473A04"/>
    <w:rsid w:val="5F4A306E"/>
    <w:rsid w:val="5F4D0F9B"/>
    <w:rsid w:val="5F510BEA"/>
    <w:rsid w:val="5F512612"/>
    <w:rsid w:val="5F5755BC"/>
    <w:rsid w:val="5F5C7B57"/>
    <w:rsid w:val="5F611984"/>
    <w:rsid w:val="5F652BA8"/>
    <w:rsid w:val="5F6D5082"/>
    <w:rsid w:val="5F761C32"/>
    <w:rsid w:val="5F7932C5"/>
    <w:rsid w:val="5F8B364F"/>
    <w:rsid w:val="5F8D321D"/>
    <w:rsid w:val="5F9612D1"/>
    <w:rsid w:val="5F99147B"/>
    <w:rsid w:val="5F995752"/>
    <w:rsid w:val="5FA34EB7"/>
    <w:rsid w:val="5FAE59A2"/>
    <w:rsid w:val="5FBE6440"/>
    <w:rsid w:val="5FD5093E"/>
    <w:rsid w:val="5FEB686D"/>
    <w:rsid w:val="5FEB6A22"/>
    <w:rsid w:val="5FF31B4A"/>
    <w:rsid w:val="600C7F09"/>
    <w:rsid w:val="600F5237"/>
    <w:rsid w:val="601141AB"/>
    <w:rsid w:val="60167751"/>
    <w:rsid w:val="601B76D7"/>
    <w:rsid w:val="602861F0"/>
    <w:rsid w:val="60482EFA"/>
    <w:rsid w:val="604959D9"/>
    <w:rsid w:val="604A10A6"/>
    <w:rsid w:val="605C098D"/>
    <w:rsid w:val="60690CBC"/>
    <w:rsid w:val="60720664"/>
    <w:rsid w:val="60721C98"/>
    <w:rsid w:val="60784BAA"/>
    <w:rsid w:val="60796FD8"/>
    <w:rsid w:val="607E4C8F"/>
    <w:rsid w:val="608A629B"/>
    <w:rsid w:val="608B60DB"/>
    <w:rsid w:val="609B2ABF"/>
    <w:rsid w:val="609B2BFE"/>
    <w:rsid w:val="60A57474"/>
    <w:rsid w:val="60AF042B"/>
    <w:rsid w:val="60B3432B"/>
    <w:rsid w:val="60B858BB"/>
    <w:rsid w:val="60B902A5"/>
    <w:rsid w:val="60C3453F"/>
    <w:rsid w:val="60C61804"/>
    <w:rsid w:val="60D54F2D"/>
    <w:rsid w:val="60E32F73"/>
    <w:rsid w:val="60E64FB1"/>
    <w:rsid w:val="61004ABD"/>
    <w:rsid w:val="610B40B7"/>
    <w:rsid w:val="61136D2D"/>
    <w:rsid w:val="61140A92"/>
    <w:rsid w:val="61205288"/>
    <w:rsid w:val="61361361"/>
    <w:rsid w:val="613701B5"/>
    <w:rsid w:val="6145416B"/>
    <w:rsid w:val="6151207A"/>
    <w:rsid w:val="61587CA4"/>
    <w:rsid w:val="615D0933"/>
    <w:rsid w:val="615D305F"/>
    <w:rsid w:val="615D3449"/>
    <w:rsid w:val="61603872"/>
    <w:rsid w:val="616902E8"/>
    <w:rsid w:val="616E2A77"/>
    <w:rsid w:val="61725553"/>
    <w:rsid w:val="617554F4"/>
    <w:rsid w:val="617B25C9"/>
    <w:rsid w:val="617E56AC"/>
    <w:rsid w:val="61890594"/>
    <w:rsid w:val="619C5E9F"/>
    <w:rsid w:val="61A22246"/>
    <w:rsid w:val="61A249FD"/>
    <w:rsid w:val="61A43009"/>
    <w:rsid w:val="61A97A66"/>
    <w:rsid w:val="61AB577E"/>
    <w:rsid w:val="61BD42CE"/>
    <w:rsid w:val="61BF6568"/>
    <w:rsid w:val="61C06423"/>
    <w:rsid w:val="61C378B2"/>
    <w:rsid w:val="61C92A5B"/>
    <w:rsid w:val="61CE624E"/>
    <w:rsid w:val="61D21A20"/>
    <w:rsid w:val="61DF7F2E"/>
    <w:rsid w:val="61E20788"/>
    <w:rsid w:val="61E20FD0"/>
    <w:rsid w:val="61E51BE5"/>
    <w:rsid w:val="620501CF"/>
    <w:rsid w:val="62084970"/>
    <w:rsid w:val="62092479"/>
    <w:rsid w:val="620D5F72"/>
    <w:rsid w:val="621B2099"/>
    <w:rsid w:val="621B583E"/>
    <w:rsid w:val="621C5C01"/>
    <w:rsid w:val="62252497"/>
    <w:rsid w:val="62382803"/>
    <w:rsid w:val="624024CD"/>
    <w:rsid w:val="624D6F42"/>
    <w:rsid w:val="625375D5"/>
    <w:rsid w:val="62665FFE"/>
    <w:rsid w:val="6278613E"/>
    <w:rsid w:val="62874561"/>
    <w:rsid w:val="62921A11"/>
    <w:rsid w:val="629E6D3D"/>
    <w:rsid w:val="62AE329B"/>
    <w:rsid w:val="62B64A3F"/>
    <w:rsid w:val="62C118E1"/>
    <w:rsid w:val="62C4343C"/>
    <w:rsid w:val="62C67DDF"/>
    <w:rsid w:val="62C90390"/>
    <w:rsid w:val="62CC0CEF"/>
    <w:rsid w:val="62CC187C"/>
    <w:rsid w:val="62D748CC"/>
    <w:rsid w:val="62DC07C1"/>
    <w:rsid w:val="62EA3270"/>
    <w:rsid w:val="62ED0E29"/>
    <w:rsid w:val="62F619EA"/>
    <w:rsid w:val="63004EF7"/>
    <w:rsid w:val="630320B7"/>
    <w:rsid w:val="63063027"/>
    <w:rsid w:val="631A74EA"/>
    <w:rsid w:val="632519AF"/>
    <w:rsid w:val="63262F6E"/>
    <w:rsid w:val="632D0C7F"/>
    <w:rsid w:val="63477E3F"/>
    <w:rsid w:val="634D0981"/>
    <w:rsid w:val="634E46FB"/>
    <w:rsid w:val="634F0B95"/>
    <w:rsid w:val="635A7E0A"/>
    <w:rsid w:val="636A0D19"/>
    <w:rsid w:val="63787962"/>
    <w:rsid w:val="638127E2"/>
    <w:rsid w:val="63824D50"/>
    <w:rsid w:val="638E457E"/>
    <w:rsid w:val="6396681D"/>
    <w:rsid w:val="639B674C"/>
    <w:rsid w:val="639E485F"/>
    <w:rsid w:val="63AA0A31"/>
    <w:rsid w:val="63B873BE"/>
    <w:rsid w:val="63BB3DA2"/>
    <w:rsid w:val="63BC6CC1"/>
    <w:rsid w:val="63BE7BDD"/>
    <w:rsid w:val="63C5025D"/>
    <w:rsid w:val="63D1197B"/>
    <w:rsid w:val="63DF6396"/>
    <w:rsid w:val="63E113BA"/>
    <w:rsid w:val="63F92368"/>
    <w:rsid w:val="63FD00B6"/>
    <w:rsid w:val="63FD116B"/>
    <w:rsid w:val="640A6474"/>
    <w:rsid w:val="640E2073"/>
    <w:rsid w:val="642D3496"/>
    <w:rsid w:val="64310AA8"/>
    <w:rsid w:val="643E4AC1"/>
    <w:rsid w:val="64420D46"/>
    <w:rsid w:val="644F7035"/>
    <w:rsid w:val="64581482"/>
    <w:rsid w:val="645C498B"/>
    <w:rsid w:val="64601BCA"/>
    <w:rsid w:val="646A7EDD"/>
    <w:rsid w:val="64725309"/>
    <w:rsid w:val="647A160C"/>
    <w:rsid w:val="648406B1"/>
    <w:rsid w:val="64850FC5"/>
    <w:rsid w:val="648D6F6A"/>
    <w:rsid w:val="64945FB6"/>
    <w:rsid w:val="649540DC"/>
    <w:rsid w:val="649B32D7"/>
    <w:rsid w:val="64A54B11"/>
    <w:rsid w:val="64AB5169"/>
    <w:rsid w:val="64B35B76"/>
    <w:rsid w:val="64C7747A"/>
    <w:rsid w:val="64CC55B5"/>
    <w:rsid w:val="64D06456"/>
    <w:rsid w:val="64DB2B76"/>
    <w:rsid w:val="64DB70AA"/>
    <w:rsid w:val="64E7459D"/>
    <w:rsid w:val="64F3074B"/>
    <w:rsid w:val="64F95EEA"/>
    <w:rsid w:val="64FC0054"/>
    <w:rsid w:val="64FF43C3"/>
    <w:rsid w:val="65055B18"/>
    <w:rsid w:val="650D4A26"/>
    <w:rsid w:val="651631C1"/>
    <w:rsid w:val="652B0F7C"/>
    <w:rsid w:val="65413C40"/>
    <w:rsid w:val="65542C24"/>
    <w:rsid w:val="65646807"/>
    <w:rsid w:val="656A3AA0"/>
    <w:rsid w:val="657311C9"/>
    <w:rsid w:val="657C55EC"/>
    <w:rsid w:val="657E32C4"/>
    <w:rsid w:val="65820B3F"/>
    <w:rsid w:val="65821695"/>
    <w:rsid w:val="6584076D"/>
    <w:rsid w:val="65A01E32"/>
    <w:rsid w:val="65A05550"/>
    <w:rsid w:val="65AC032F"/>
    <w:rsid w:val="65B0135A"/>
    <w:rsid w:val="65B1615D"/>
    <w:rsid w:val="65B72F3D"/>
    <w:rsid w:val="65C16CB9"/>
    <w:rsid w:val="65C20B96"/>
    <w:rsid w:val="65D46F24"/>
    <w:rsid w:val="65DC01A0"/>
    <w:rsid w:val="65E855AB"/>
    <w:rsid w:val="65EA6448"/>
    <w:rsid w:val="65F16D88"/>
    <w:rsid w:val="65F454F6"/>
    <w:rsid w:val="65F72E23"/>
    <w:rsid w:val="66003152"/>
    <w:rsid w:val="66006D33"/>
    <w:rsid w:val="660D2876"/>
    <w:rsid w:val="66115C98"/>
    <w:rsid w:val="661D71F3"/>
    <w:rsid w:val="66213827"/>
    <w:rsid w:val="662C309A"/>
    <w:rsid w:val="662C400C"/>
    <w:rsid w:val="6634158B"/>
    <w:rsid w:val="66357330"/>
    <w:rsid w:val="663D15A4"/>
    <w:rsid w:val="664B5F05"/>
    <w:rsid w:val="665630B1"/>
    <w:rsid w:val="66615669"/>
    <w:rsid w:val="66623A55"/>
    <w:rsid w:val="666368FF"/>
    <w:rsid w:val="667714CB"/>
    <w:rsid w:val="66AA45F3"/>
    <w:rsid w:val="66AA4B3C"/>
    <w:rsid w:val="66AE05B8"/>
    <w:rsid w:val="66B95382"/>
    <w:rsid w:val="66BB7DE3"/>
    <w:rsid w:val="66BC654F"/>
    <w:rsid w:val="66BE3833"/>
    <w:rsid w:val="66BF5138"/>
    <w:rsid w:val="66C714A0"/>
    <w:rsid w:val="66C83D67"/>
    <w:rsid w:val="66DC6966"/>
    <w:rsid w:val="66F06968"/>
    <w:rsid w:val="66F84552"/>
    <w:rsid w:val="67034C47"/>
    <w:rsid w:val="672D0926"/>
    <w:rsid w:val="6735562E"/>
    <w:rsid w:val="67377E83"/>
    <w:rsid w:val="673D2F41"/>
    <w:rsid w:val="6740369C"/>
    <w:rsid w:val="674C5413"/>
    <w:rsid w:val="675C6C31"/>
    <w:rsid w:val="675E774A"/>
    <w:rsid w:val="676C31DE"/>
    <w:rsid w:val="67705278"/>
    <w:rsid w:val="67754F98"/>
    <w:rsid w:val="67811ED5"/>
    <w:rsid w:val="678614DF"/>
    <w:rsid w:val="67895196"/>
    <w:rsid w:val="678A085E"/>
    <w:rsid w:val="678E7244"/>
    <w:rsid w:val="679307A4"/>
    <w:rsid w:val="679A030F"/>
    <w:rsid w:val="679A4AA9"/>
    <w:rsid w:val="67A265D2"/>
    <w:rsid w:val="67B47A8D"/>
    <w:rsid w:val="67BE411B"/>
    <w:rsid w:val="67C2640D"/>
    <w:rsid w:val="67D05C3D"/>
    <w:rsid w:val="67DC7757"/>
    <w:rsid w:val="67E723DF"/>
    <w:rsid w:val="680775C3"/>
    <w:rsid w:val="681452F9"/>
    <w:rsid w:val="682158FB"/>
    <w:rsid w:val="682C134B"/>
    <w:rsid w:val="68355EAD"/>
    <w:rsid w:val="684E09CA"/>
    <w:rsid w:val="684E3A9C"/>
    <w:rsid w:val="68621E55"/>
    <w:rsid w:val="686B19FA"/>
    <w:rsid w:val="686C32C7"/>
    <w:rsid w:val="686D18F4"/>
    <w:rsid w:val="686F7BFC"/>
    <w:rsid w:val="68727C61"/>
    <w:rsid w:val="68782064"/>
    <w:rsid w:val="687A002D"/>
    <w:rsid w:val="68825691"/>
    <w:rsid w:val="689A312B"/>
    <w:rsid w:val="689F17B7"/>
    <w:rsid w:val="68A259A7"/>
    <w:rsid w:val="68A51722"/>
    <w:rsid w:val="68B27A3E"/>
    <w:rsid w:val="68BE1761"/>
    <w:rsid w:val="68CB1956"/>
    <w:rsid w:val="68EA04F8"/>
    <w:rsid w:val="68EE7418"/>
    <w:rsid w:val="690D74DA"/>
    <w:rsid w:val="690F592A"/>
    <w:rsid w:val="6913274D"/>
    <w:rsid w:val="69250329"/>
    <w:rsid w:val="692A7F3B"/>
    <w:rsid w:val="693567B4"/>
    <w:rsid w:val="693E2CA0"/>
    <w:rsid w:val="694651C0"/>
    <w:rsid w:val="694B5F41"/>
    <w:rsid w:val="6960498A"/>
    <w:rsid w:val="696609FE"/>
    <w:rsid w:val="69674AED"/>
    <w:rsid w:val="696962EF"/>
    <w:rsid w:val="69882D27"/>
    <w:rsid w:val="698867A6"/>
    <w:rsid w:val="69926167"/>
    <w:rsid w:val="699720D8"/>
    <w:rsid w:val="69993CB2"/>
    <w:rsid w:val="699B3C7B"/>
    <w:rsid w:val="699F221A"/>
    <w:rsid w:val="69A90ADE"/>
    <w:rsid w:val="69AC4B26"/>
    <w:rsid w:val="69B36094"/>
    <w:rsid w:val="69B53C31"/>
    <w:rsid w:val="69BA7387"/>
    <w:rsid w:val="69BD2603"/>
    <w:rsid w:val="69CA638E"/>
    <w:rsid w:val="69DC1438"/>
    <w:rsid w:val="69E5509B"/>
    <w:rsid w:val="69F162BE"/>
    <w:rsid w:val="69F342C5"/>
    <w:rsid w:val="69F439DE"/>
    <w:rsid w:val="6A111A9E"/>
    <w:rsid w:val="6A1368B4"/>
    <w:rsid w:val="6A1B132A"/>
    <w:rsid w:val="6A1B72AA"/>
    <w:rsid w:val="6A1E4DB9"/>
    <w:rsid w:val="6A277007"/>
    <w:rsid w:val="6A2C0BAA"/>
    <w:rsid w:val="6A35624C"/>
    <w:rsid w:val="6A36768F"/>
    <w:rsid w:val="6A4C7706"/>
    <w:rsid w:val="6A4D277D"/>
    <w:rsid w:val="6A4E75E1"/>
    <w:rsid w:val="6A526445"/>
    <w:rsid w:val="6A5556A4"/>
    <w:rsid w:val="6A586EA6"/>
    <w:rsid w:val="6A605DDA"/>
    <w:rsid w:val="6A6B298C"/>
    <w:rsid w:val="6A6C35D2"/>
    <w:rsid w:val="6A706DFD"/>
    <w:rsid w:val="6A727FB2"/>
    <w:rsid w:val="6A807B60"/>
    <w:rsid w:val="6A837D1F"/>
    <w:rsid w:val="6A843A9F"/>
    <w:rsid w:val="6A8F7452"/>
    <w:rsid w:val="6A944AB4"/>
    <w:rsid w:val="6AA87ECA"/>
    <w:rsid w:val="6AC97BA3"/>
    <w:rsid w:val="6ACE33C6"/>
    <w:rsid w:val="6AE52B64"/>
    <w:rsid w:val="6AE60600"/>
    <w:rsid w:val="6AEC20D6"/>
    <w:rsid w:val="6AF16405"/>
    <w:rsid w:val="6B032E43"/>
    <w:rsid w:val="6B0C5BA0"/>
    <w:rsid w:val="6B123DBE"/>
    <w:rsid w:val="6B1627A9"/>
    <w:rsid w:val="6B1B4ADD"/>
    <w:rsid w:val="6B1C3EC9"/>
    <w:rsid w:val="6B22561B"/>
    <w:rsid w:val="6B2F268C"/>
    <w:rsid w:val="6B315AAF"/>
    <w:rsid w:val="6B3F4AA7"/>
    <w:rsid w:val="6B6E49C8"/>
    <w:rsid w:val="6B847B8A"/>
    <w:rsid w:val="6B881F4D"/>
    <w:rsid w:val="6B8B156F"/>
    <w:rsid w:val="6B904BA8"/>
    <w:rsid w:val="6B9476C7"/>
    <w:rsid w:val="6B9A6EAE"/>
    <w:rsid w:val="6BB721A3"/>
    <w:rsid w:val="6BD0153C"/>
    <w:rsid w:val="6BD63B45"/>
    <w:rsid w:val="6BD6780F"/>
    <w:rsid w:val="6BE043B6"/>
    <w:rsid w:val="6BE475D6"/>
    <w:rsid w:val="6BEC3A64"/>
    <w:rsid w:val="6BEF3535"/>
    <w:rsid w:val="6BF72EE6"/>
    <w:rsid w:val="6BF82E2B"/>
    <w:rsid w:val="6BFA52D4"/>
    <w:rsid w:val="6C0F17D1"/>
    <w:rsid w:val="6C155B13"/>
    <w:rsid w:val="6C1C3DAB"/>
    <w:rsid w:val="6C1F1724"/>
    <w:rsid w:val="6C215061"/>
    <w:rsid w:val="6C275E16"/>
    <w:rsid w:val="6C3504E0"/>
    <w:rsid w:val="6C3A75B7"/>
    <w:rsid w:val="6C3C4B97"/>
    <w:rsid w:val="6C4378AB"/>
    <w:rsid w:val="6C6146F0"/>
    <w:rsid w:val="6C66643F"/>
    <w:rsid w:val="6C681393"/>
    <w:rsid w:val="6C7D1B83"/>
    <w:rsid w:val="6C822766"/>
    <w:rsid w:val="6C8B44D8"/>
    <w:rsid w:val="6C9551C8"/>
    <w:rsid w:val="6CA34B51"/>
    <w:rsid w:val="6CB02AC4"/>
    <w:rsid w:val="6CB06BD8"/>
    <w:rsid w:val="6CC1003C"/>
    <w:rsid w:val="6CC3672F"/>
    <w:rsid w:val="6CC4690F"/>
    <w:rsid w:val="6CC66C12"/>
    <w:rsid w:val="6CC70534"/>
    <w:rsid w:val="6CCD75A4"/>
    <w:rsid w:val="6CCE7793"/>
    <w:rsid w:val="6CD05BB0"/>
    <w:rsid w:val="6CE44996"/>
    <w:rsid w:val="6CE54F3F"/>
    <w:rsid w:val="6CFD30A2"/>
    <w:rsid w:val="6CFF02E4"/>
    <w:rsid w:val="6D121104"/>
    <w:rsid w:val="6D164000"/>
    <w:rsid w:val="6D214766"/>
    <w:rsid w:val="6D2C1EED"/>
    <w:rsid w:val="6D2E5BE8"/>
    <w:rsid w:val="6D351CC1"/>
    <w:rsid w:val="6D355423"/>
    <w:rsid w:val="6D3C54DB"/>
    <w:rsid w:val="6D4C3E84"/>
    <w:rsid w:val="6D5578B4"/>
    <w:rsid w:val="6D5811B7"/>
    <w:rsid w:val="6D5E1000"/>
    <w:rsid w:val="6D5F2BC1"/>
    <w:rsid w:val="6D63064A"/>
    <w:rsid w:val="6D637913"/>
    <w:rsid w:val="6D66370E"/>
    <w:rsid w:val="6D6B77C5"/>
    <w:rsid w:val="6D6E47FD"/>
    <w:rsid w:val="6D736519"/>
    <w:rsid w:val="6D7E1D62"/>
    <w:rsid w:val="6D9632E7"/>
    <w:rsid w:val="6DBB2348"/>
    <w:rsid w:val="6DC200A0"/>
    <w:rsid w:val="6DD41270"/>
    <w:rsid w:val="6DD9160C"/>
    <w:rsid w:val="6DD93C25"/>
    <w:rsid w:val="6DDC71D6"/>
    <w:rsid w:val="6DED5D72"/>
    <w:rsid w:val="6DED65AC"/>
    <w:rsid w:val="6DEF04EF"/>
    <w:rsid w:val="6DF25A8E"/>
    <w:rsid w:val="6DFD1AA7"/>
    <w:rsid w:val="6E06396A"/>
    <w:rsid w:val="6E0A4BF1"/>
    <w:rsid w:val="6E0D61DC"/>
    <w:rsid w:val="6E165481"/>
    <w:rsid w:val="6E1867CA"/>
    <w:rsid w:val="6E192139"/>
    <w:rsid w:val="6E1D35E6"/>
    <w:rsid w:val="6E1E1E8D"/>
    <w:rsid w:val="6E22382B"/>
    <w:rsid w:val="6E232273"/>
    <w:rsid w:val="6E297029"/>
    <w:rsid w:val="6E2F0271"/>
    <w:rsid w:val="6E4F2F3F"/>
    <w:rsid w:val="6E542161"/>
    <w:rsid w:val="6E58196B"/>
    <w:rsid w:val="6E6201ED"/>
    <w:rsid w:val="6E630B36"/>
    <w:rsid w:val="6E6978C4"/>
    <w:rsid w:val="6E703DB9"/>
    <w:rsid w:val="6E73645D"/>
    <w:rsid w:val="6E7C2BE3"/>
    <w:rsid w:val="6E7C56EB"/>
    <w:rsid w:val="6E8A4E74"/>
    <w:rsid w:val="6E8A564E"/>
    <w:rsid w:val="6E97515E"/>
    <w:rsid w:val="6E9E3B8A"/>
    <w:rsid w:val="6EA16C68"/>
    <w:rsid w:val="6EAB0E95"/>
    <w:rsid w:val="6EB048F2"/>
    <w:rsid w:val="6EB45C22"/>
    <w:rsid w:val="6EC40181"/>
    <w:rsid w:val="6EC85EBD"/>
    <w:rsid w:val="6ECB7332"/>
    <w:rsid w:val="6ECD04A7"/>
    <w:rsid w:val="6ED9112D"/>
    <w:rsid w:val="6EE200F5"/>
    <w:rsid w:val="6EE4126F"/>
    <w:rsid w:val="6EE87571"/>
    <w:rsid w:val="6EEC4AF9"/>
    <w:rsid w:val="6EFB700E"/>
    <w:rsid w:val="6EFE7C56"/>
    <w:rsid w:val="6F046D74"/>
    <w:rsid w:val="6F064554"/>
    <w:rsid w:val="6F094612"/>
    <w:rsid w:val="6F21539B"/>
    <w:rsid w:val="6F220356"/>
    <w:rsid w:val="6F287209"/>
    <w:rsid w:val="6F2C7C3D"/>
    <w:rsid w:val="6F3C1D7F"/>
    <w:rsid w:val="6F3F7004"/>
    <w:rsid w:val="6F4268A1"/>
    <w:rsid w:val="6F495ADB"/>
    <w:rsid w:val="6F50385D"/>
    <w:rsid w:val="6F531633"/>
    <w:rsid w:val="6F5E428B"/>
    <w:rsid w:val="6F64467A"/>
    <w:rsid w:val="6F665BB5"/>
    <w:rsid w:val="6F6A1FE6"/>
    <w:rsid w:val="6F6B393A"/>
    <w:rsid w:val="6F757C81"/>
    <w:rsid w:val="6F790816"/>
    <w:rsid w:val="6F7E799C"/>
    <w:rsid w:val="6FA00BBA"/>
    <w:rsid w:val="6FA172EA"/>
    <w:rsid w:val="6FA3785A"/>
    <w:rsid w:val="6FB908A6"/>
    <w:rsid w:val="6FC40B0E"/>
    <w:rsid w:val="6FCB689E"/>
    <w:rsid w:val="6FCE1FC1"/>
    <w:rsid w:val="6FD02518"/>
    <w:rsid w:val="6FE54C40"/>
    <w:rsid w:val="6FE8696D"/>
    <w:rsid w:val="6FEA60C4"/>
    <w:rsid w:val="6FEB42B7"/>
    <w:rsid w:val="6FF02CC3"/>
    <w:rsid w:val="70097A35"/>
    <w:rsid w:val="701110D2"/>
    <w:rsid w:val="70123790"/>
    <w:rsid w:val="70136325"/>
    <w:rsid w:val="701877E1"/>
    <w:rsid w:val="701900E6"/>
    <w:rsid w:val="70191BB1"/>
    <w:rsid w:val="7019465C"/>
    <w:rsid w:val="702A10FC"/>
    <w:rsid w:val="702C134F"/>
    <w:rsid w:val="702E62E0"/>
    <w:rsid w:val="705E66D9"/>
    <w:rsid w:val="706452DB"/>
    <w:rsid w:val="706538CB"/>
    <w:rsid w:val="706972A9"/>
    <w:rsid w:val="706B4BD8"/>
    <w:rsid w:val="7074433D"/>
    <w:rsid w:val="707F652B"/>
    <w:rsid w:val="708C797F"/>
    <w:rsid w:val="709D0E15"/>
    <w:rsid w:val="70A301C0"/>
    <w:rsid w:val="70AC27E2"/>
    <w:rsid w:val="70B34FF3"/>
    <w:rsid w:val="70B94B3E"/>
    <w:rsid w:val="70BC5FED"/>
    <w:rsid w:val="70C92A65"/>
    <w:rsid w:val="70D44E98"/>
    <w:rsid w:val="70DC7ACF"/>
    <w:rsid w:val="70DF469A"/>
    <w:rsid w:val="70EA27B8"/>
    <w:rsid w:val="70EB2810"/>
    <w:rsid w:val="70EC059D"/>
    <w:rsid w:val="711A1B90"/>
    <w:rsid w:val="711E5FCC"/>
    <w:rsid w:val="71224CAE"/>
    <w:rsid w:val="713F7DA8"/>
    <w:rsid w:val="714E33E3"/>
    <w:rsid w:val="714E4D66"/>
    <w:rsid w:val="71502205"/>
    <w:rsid w:val="715213CA"/>
    <w:rsid w:val="71571882"/>
    <w:rsid w:val="71582A70"/>
    <w:rsid w:val="716174A0"/>
    <w:rsid w:val="716567A7"/>
    <w:rsid w:val="71707E5B"/>
    <w:rsid w:val="71720075"/>
    <w:rsid w:val="717B2AE2"/>
    <w:rsid w:val="718C5B54"/>
    <w:rsid w:val="71953675"/>
    <w:rsid w:val="719D6584"/>
    <w:rsid w:val="71A2198A"/>
    <w:rsid w:val="71A72DDD"/>
    <w:rsid w:val="71BF04C5"/>
    <w:rsid w:val="71D81805"/>
    <w:rsid w:val="71DA77AF"/>
    <w:rsid w:val="71EC42BA"/>
    <w:rsid w:val="71F87ECA"/>
    <w:rsid w:val="72052226"/>
    <w:rsid w:val="72154FA8"/>
    <w:rsid w:val="721628F6"/>
    <w:rsid w:val="7226125C"/>
    <w:rsid w:val="724A24B1"/>
    <w:rsid w:val="724E214D"/>
    <w:rsid w:val="72563A5D"/>
    <w:rsid w:val="72636B06"/>
    <w:rsid w:val="7264583D"/>
    <w:rsid w:val="727803AF"/>
    <w:rsid w:val="72823333"/>
    <w:rsid w:val="728305C4"/>
    <w:rsid w:val="7284592B"/>
    <w:rsid w:val="728C0229"/>
    <w:rsid w:val="729A397C"/>
    <w:rsid w:val="72A4060F"/>
    <w:rsid w:val="72B0371E"/>
    <w:rsid w:val="72B612C7"/>
    <w:rsid w:val="72B63631"/>
    <w:rsid w:val="72B64E64"/>
    <w:rsid w:val="72CA060E"/>
    <w:rsid w:val="72D40442"/>
    <w:rsid w:val="72DC5C8E"/>
    <w:rsid w:val="72E4249E"/>
    <w:rsid w:val="72E469A8"/>
    <w:rsid w:val="72EF575A"/>
    <w:rsid w:val="72F27CF9"/>
    <w:rsid w:val="72FB7BD9"/>
    <w:rsid w:val="730A7FB3"/>
    <w:rsid w:val="730B7934"/>
    <w:rsid w:val="73122806"/>
    <w:rsid w:val="73123A32"/>
    <w:rsid w:val="731748F8"/>
    <w:rsid w:val="73177C41"/>
    <w:rsid w:val="731D36F6"/>
    <w:rsid w:val="73225BBB"/>
    <w:rsid w:val="73390822"/>
    <w:rsid w:val="733A6BAC"/>
    <w:rsid w:val="733E4E11"/>
    <w:rsid w:val="735321C7"/>
    <w:rsid w:val="73555B0C"/>
    <w:rsid w:val="735B4BDB"/>
    <w:rsid w:val="735F0CCA"/>
    <w:rsid w:val="736306A4"/>
    <w:rsid w:val="737B0C22"/>
    <w:rsid w:val="7382596C"/>
    <w:rsid w:val="73825A1E"/>
    <w:rsid w:val="73850583"/>
    <w:rsid w:val="738C5E7C"/>
    <w:rsid w:val="73944A31"/>
    <w:rsid w:val="739A125C"/>
    <w:rsid w:val="739D318E"/>
    <w:rsid w:val="73A94EB6"/>
    <w:rsid w:val="73BE113C"/>
    <w:rsid w:val="73BE373F"/>
    <w:rsid w:val="73BE6CC6"/>
    <w:rsid w:val="73BF31EE"/>
    <w:rsid w:val="73CC2136"/>
    <w:rsid w:val="73D679C6"/>
    <w:rsid w:val="73EA5BB1"/>
    <w:rsid w:val="73EE5384"/>
    <w:rsid w:val="73F57F43"/>
    <w:rsid w:val="7401390F"/>
    <w:rsid w:val="74075226"/>
    <w:rsid w:val="740B06E4"/>
    <w:rsid w:val="74183FBF"/>
    <w:rsid w:val="741D416E"/>
    <w:rsid w:val="741D4950"/>
    <w:rsid w:val="742911FB"/>
    <w:rsid w:val="742A69D9"/>
    <w:rsid w:val="742D5653"/>
    <w:rsid w:val="743A5794"/>
    <w:rsid w:val="74420201"/>
    <w:rsid w:val="74440B3A"/>
    <w:rsid w:val="744C6780"/>
    <w:rsid w:val="74581A9F"/>
    <w:rsid w:val="746309E1"/>
    <w:rsid w:val="74844FAE"/>
    <w:rsid w:val="748A4120"/>
    <w:rsid w:val="74B2357E"/>
    <w:rsid w:val="74BA672F"/>
    <w:rsid w:val="74BE18CA"/>
    <w:rsid w:val="74C17A95"/>
    <w:rsid w:val="74D04498"/>
    <w:rsid w:val="74D60FC8"/>
    <w:rsid w:val="74F90679"/>
    <w:rsid w:val="7510465D"/>
    <w:rsid w:val="75153331"/>
    <w:rsid w:val="751675C6"/>
    <w:rsid w:val="751E234A"/>
    <w:rsid w:val="751F0A8D"/>
    <w:rsid w:val="75235B09"/>
    <w:rsid w:val="75282985"/>
    <w:rsid w:val="75283185"/>
    <w:rsid w:val="75291B23"/>
    <w:rsid w:val="752954AE"/>
    <w:rsid w:val="752B29FF"/>
    <w:rsid w:val="752C07A3"/>
    <w:rsid w:val="752D4A09"/>
    <w:rsid w:val="7541469F"/>
    <w:rsid w:val="754428C8"/>
    <w:rsid w:val="754B3C0C"/>
    <w:rsid w:val="75513061"/>
    <w:rsid w:val="755D74C1"/>
    <w:rsid w:val="75770F5F"/>
    <w:rsid w:val="758227CF"/>
    <w:rsid w:val="75832BCA"/>
    <w:rsid w:val="75844813"/>
    <w:rsid w:val="75893C86"/>
    <w:rsid w:val="758F2244"/>
    <w:rsid w:val="759A34B1"/>
    <w:rsid w:val="759C3AA9"/>
    <w:rsid w:val="75A94884"/>
    <w:rsid w:val="75AF669D"/>
    <w:rsid w:val="75B556D4"/>
    <w:rsid w:val="75C230C5"/>
    <w:rsid w:val="75D43CC1"/>
    <w:rsid w:val="75D7582E"/>
    <w:rsid w:val="75D963AF"/>
    <w:rsid w:val="75DF0059"/>
    <w:rsid w:val="75E16E65"/>
    <w:rsid w:val="75ED524B"/>
    <w:rsid w:val="75EE6DCC"/>
    <w:rsid w:val="75EF1555"/>
    <w:rsid w:val="75F37BF3"/>
    <w:rsid w:val="75F47ED1"/>
    <w:rsid w:val="75F63E19"/>
    <w:rsid w:val="75FD24A8"/>
    <w:rsid w:val="760B1DDD"/>
    <w:rsid w:val="760F20FF"/>
    <w:rsid w:val="7617254D"/>
    <w:rsid w:val="76175E3B"/>
    <w:rsid w:val="761B769E"/>
    <w:rsid w:val="76237331"/>
    <w:rsid w:val="76307C60"/>
    <w:rsid w:val="7631445C"/>
    <w:rsid w:val="763C129F"/>
    <w:rsid w:val="76435CC1"/>
    <w:rsid w:val="76440CAA"/>
    <w:rsid w:val="76485B5D"/>
    <w:rsid w:val="764B7977"/>
    <w:rsid w:val="76513B47"/>
    <w:rsid w:val="765B52C1"/>
    <w:rsid w:val="766B419D"/>
    <w:rsid w:val="766E72A6"/>
    <w:rsid w:val="76780212"/>
    <w:rsid w:val="7679531B"/>
    <w:rsid w:val="767D5F57"/>
    <w:rsid w:val="76847102"/>
    <w:rsid w:val="768E7666"/>
    <w:rsid w:val="769A4483"/>
    <w:rsid w:val="76AE5D79"/>
    <w:rsid w:val="76B2134D"/>
    <w:rsid w:val="76B244FA"/>
    <w:rsid w:val="76B70B6A"/>
    <w:rsid w:val="76BC008C"/>
    <w:rsid w:val="76C41697"/>
    <w:rsid w:val="76CB16C1"/>
    <w:rsid w:val="76D43443"/>
    <w:rsid w:val="76D6321E"/>
    <w:rsid w:val="76D91D3D"/>
    <w:rsid w:val="76E64C85"/>
    <w:rsid w:val="76F23F01"/>
    <w:rsid w:val="76F77E01"/>
    <w:rsid w:val="76FE1DB2"/>
    <w:rsid w:val="76FE6C6B"/>
    <w:rsid w:val="77064B9B"/>
    <w:rsid w:val="770A34B8"/>
    <w:rsid w:val="770F6BA0"/>
    <w:rsid w:val="77206E10"/>
    <w:rsid w:val="77257ADF"/>
    <w:rsid w:val="7738034A"/>
    <w:rsid w:val="774159B9"/>
    <w:rsid w:val="7746259A"/>
    <w:rsid w:val="7758481F"/>
    <w:rsid w:val="77596911"/>
    <w:rsid w:val="775C2FA4"/>
    <w:rsid w:val="776A25EA"/>
    <w:rsid w:val="77716B79"/>
    <w:rsid w:val="7782380D"/>
    <w:rsid w:val="778267B4"/>
    <w:rsid w:val="77880D1C"/>
    <w:rsid w:val="779B1AC5"/>
    <w:rsid w:val="779D0E2B"/>
    <w:rsid w:val="779D33DE"/>
    <w:rsid w:val="77A649CC"/>
    <w:rsid w:val="77AB296E"/>
    <w:rsid w:val="77AF689F"/>
    <w:rsid w:val="77C24493"/>
    <w:rsid w:val="77C667FA"/>
    <w:rsid w:val="77E8657E"/>
    <w:rsid w:val="77EC2897"/>
    <w:rsid w:val="77EC61FD"/>
    <w:rsid w:val="77F36806"/>
    <w:rsid w:val="77F93B4C"/>
    <w:rsid w:val="77FB755F"/>
    <w:rsid w:val="77FD7E5B"/>
    <w:rsid w:val="78007DD2"/>
    <w:rsid w:val="78017245"/>
    <w:rsid w:val="780711CF"/>
    <w:rsid w:val="7816048A"/>
    <w:rsid w:val="781D6253"/>
    <w:rsid w:val="781F4150"/>
    <w:rsid w:val="78243C5C"/>
    <w:rsid w:val="782D4D7A"/>
    <w:rsid w:val="782E0619"/>
    <w:rsid w:val="78341D15"/>
    <w:rsid w:val="783600D3"/>
    <w:rsid w:val="783E732E"/>
    <w:rsid w:val="785B5C54"/>
    <w:rsid w:val="78607115"/>
    <w:rsid w:val="7862169D"/>
    <w:rsid w:val="78665EC5"/>
    <w:rsid w:val="78667A5E"/>
    <w:rsid w:val="786F1193"/>
    <w:rsid w:val="78894490"/>
    <w:rsid w:val="789427AB"/>
    <w:rsid w:val="78A2613D"/>
    <w:rsid w:val="78A86312"/>
    <w:rsid w:val="78AC7BCA"/>
    <w:rsid w:val="78B46940"/>
    <w:rsid w:val="78B65B43"/>
    <w:rsid w:val="78C25358"/>
    <w:rsid w:val="78C7544A"/>
    <w:rsid w:val="78CF30ED"/>
    <w:rsid w:val="78D0766D"/>
    <w:rsid w:val="78D307AD"/>
    <w:rsid w:val="78D65C6E"/>
    <w:rsid w:val="78D96C93"/>
    <w:rsid w:val="78DE17FF"/>
    <w:rsid w:val="78DF32FC"/>
    <w:rsid w:val="78E10E4C"/>
    <w:rsid w:val="78E475E3"/>
    <w:rsid w:val="78E82857"/>
    <w:rsid w:val="78EC0811"/>
    <w:rsid w:val="78ED022E"/>
    <w:rsid w:val="78F73DDA"/>
    <w:rsid w:val="78F8038E"/>
    <w:rsid w:val="78F904C1"/>
    <w:rsid w:val="79014CF7"/>
    <w:rsid w:val="79156572"/>
    <w:rsid w:val="791C7A87"/>
    <w:rsid w:val="791F23FF"/>
    <w:rsid w:val="791F509F"/>
    <w:rsid w:val="793A5986"/>
    <w:rsid w:val="794A2DB6"/>
    <w:rsid w:val="794F3D94"/>
    <w:rsid w:val="79500EFE"/>
    <w:rsid w:val="79582347"/>
    <w:rsid w:val="795C5CE4"/>
    <w:rsid w:val="795F678D"/>
    <w:rsid w:val="79695CBD"/>
    <w:rsid w:val="796B3F9B"/>
    <w:rsid w:val="796D254C"/>
    <w:rsid w:val="796E3B22"/>
    <w:rsid w:val="797411B9"/>
    <w:rsid w:val="797722DC"/>
    <w:rsid w:val="797F4635"/>
    <w:rsid w:val="79814B20"/>
    <w:rsid w:val="79956EDD"/>
    <w:rsid w:val="799A60BD"/>
    <w:rsid w:val="799E0359"/>
    <w:rsid w:val="79A00238"/>
    <w:rsid w:val="79A47E57"/>
    <w:rsid w:val="79AE2CC1"/>
    <w:rsid w:val="79B262D5"/>
    <w:rsid w:val="79B56C9E"/>
    <w:rsid w:val="79B81320"/>
    <w:rsid w:val="79B835C4"/>
    <w:rsid w:val="79C07901"/>
    <w:rsid w:val="79C36C17"/>
    <w:rsid w:val="79C744E8"/>
    <w:rsid w:val="79D9428A"/>
    <w:rsid w:val="79DE10B9"/>
    <w:rsid w:val="79E078FE"/>
    <w:rsid w:val="79F45E85"/>
    <w:rsid w:val="79F76D90"/>
    <w:rsid w:val="7A09415C"/>
    <w:rsid w:val="7A097A9F"/>
    <w:rsid w:val="7A115D4E"/>
    <w:rsid w:val="7A1215DC"/>
    <w:rsid w:val="7A144657"/>
    <w:rsid w:val="7A197BB7"/>
    <w:rsid w:val="7A37681E"/>
    <w:rsid w:val="7A3B3833"/>
    <w:rsid w:val="7A3E1C24"/>
    <w:rsid w:val="7A4835E8"/>
    <w:rsid w:val="7A4A1DF7"/>
    <w:rsid w:val="7A4A2BD3"/>
    <w:rsid w:val="7A590517"/>
    <w:rsid w:val="7A5D6653"/>
    <w:rsid w:val="7A7435CB"/>
    <w:rsid w:val="7A77304A"/>
    <w:rsid w:val="7A7B2154"/>
    <w:rsid w:val="7A8164E5"/>
    <w:rsid w:val="7A840A2F"/>
    <w:rsid w:val="7A8E2528"/>
    <w:rsid w:val="7A9224FE"/>
    <w:rsid w:val="7AB52AA8"/>
    <w:rsid w:val="7ABC3BA6"/>
    <w:rsid w:val="7AC04D3D"/>
    <w:rsid w:val="7ACB79DF"/>
    <w:rsid w:val="7AD11498"/>
    <w:rsid w:val="7AE46935"/>
    <w:rsid w:val="7AEA5A59"/>
    <w:rsid w:val="7AF9066B"/>
    <w:rsid w:val="7AFE619E"/>
    <w:rsid w:val="7B02493E"/>
    <w:rsid w:val="7B044A3E"/>
    <w:rsid w:val="7B1B2B7A"/>
    <w:rsid w:val="7B237F4E"/>
    <w:rsid w:val="7B275DC7"/>
    <w:rsid w:val="7B2B4B98"/>
    <w:rsid w:val="7B302190"/>
    <w:rsid w:val="7B366E8C"/>
    <w:rsid w:val="7B382F93"/>
    <w:rsid w:val="7B391549"/>
    <w:rsid w:val="7B51313A"/>
    <w:rsid w:val="7B5176D7"/>
    <w:rsid w:val="7B533539"/>
    <w:rsid w:val="7B5864AC"/>
    <w:rsid w:val="7B5E0A81"/>
    <w:rsid w:val="7B5E1D7E"/>
    <w:rsid w:val="7B5F53BF"/>
    <w:rsid w:val="7B674B95"/>
    <w:rsid w:val="7B682240"/>
    <w:rsid w:val="7B6F021A"/>
    <w:rsid w:val="7B712770"/>
    <w:rsid w:val="7B813CBC"/>
    <w:rsid w:val="7B85301F"/>
    <w:rsid w:val="7B8E7066"/>
    <w:rsid w:val="7B9C4EB4"/>
    <w:rsid w:val="7BA02670"/>
    <w:rsid w:val="7BA03CCC"/>
    <w:rsid w:val="7BA337AA"/>
    <w:rsid w:val="7BB35EBE"/>
    <w:rsid w:val="7BBA1F44"/>
    <w:rsid w:val="7BBC6097"/>
    <w:rsid w:val="7BC303E4"/>
    <w:rsid w:val="7BC60E51"/>
    <w:rsid w:val="7BC67077"/>
    <w:rsid w:val="7BE672C5"/>
    <w:rsid w:val="7BF03E5D"/>
    <w:rsid w:val="7BF56AC9"/>
    <w:rsid w:val="7BFA2E01"/>
    <w:rsid w:val="7C2442F9"/>
    <w:rsid w:val="7C3F2388"/>
    <w:rsid w:val="7C457F23"/>
    <w:rsid w:val="7C5667A2"/>
    <w:rsid w:val="7C5D07DA"/>
    <w:rsid w:val="7C621795"/>
    <w:rsid w:val="7C694CA9"/>
    <w:rsid w:val="7C6C6855"/>
    <w:rsid w:val="7C710497"/>
    <w:rsid w:val="7C7B7960"/>
    <w:rsid w:val="7C814E57"/>
    <w:rsid w:val="7C842FC6"/>
    <w:rsid w:val="7C930EE6"/>
    <w:rsid w:val="7C9E7157"/>
    <w:rsid w:val="7CA21CA8"/>
    <w:rsid w:val="7CA53A41"/>
    <w:rsid w:val="7CA61D32"/>
    <w:rsid w:val="7CAC5A08"/>
    <w:rsid w:val="7CB27D16"/>
    <w:rsid w:val="7CC01BDF"/>
    <w:rsid w:val="7CCD01EF"/>
    <w:rsid w:val="7CD802AD"/>
    <w:rsid w:val="7CE410CE"/>
    <w:rsid w:val="7CF24A77"/>
    <w:rsid w:val="7D097768"/>
    <w:rsid w:val="7D0E41B0"/>
    <w:rsid w:val="7D123DF0"/>
    <w:rsid w:val="7D1313D8"/>
    <w:rsid w:val="7D164322"/>
    <w:rsid w:val="7D260544"/>
    <w:rsid w:val="7D2A76C9"/>
    <w:rsid w:val="7D2C5FCD"/>
    <w:rsid w:val="7D396396"/>
    <w:rsid w:val="7D3A4538"/>
    <w:rsid w:val="7D3C6B50"/>
    <w:rsid w:val="7D455169"/>
    <w:rsid w:val="7D551C04"/>
    <w:rsid w:val="7D553764"/>
    <w:rsid w:val="7D626246"/>
    <w:rsid w:val="7D650CF4"/>
    <w:rsid w:val="7D686F2E"/>
    <w:rsid w:val="7D6C0204"/>
    <w:rsid w:val="7D6F31DD"/>
    <w:rsid w:val="7D753A51"/>
    <w:rsid w:val="7D7B6824"/>
    <w:rsid w:val="7D834475"/>
    <w:rsid w:val="7D865931"/>
    <w:rsid w:val="7D8672C9"/>
    <w:rsid w:val="7D88153F"/>
    <w:rsid w:val="7D9D56E8"/>
    <w:rsid w:val="7D9E646B"/>
    <w:rsid w:val="7DA030E8"/>
    <w:rsid w:val="7DA85E7C"/>
    <w:rsid w:val="7DAF3F0B"/>
    <w:rsid w:val="7DB82F14"/>
    <w:rsid w:val="7DBC14DD"/>
    <w:rsid w:val="7DCE66D1"/>
    <w:rsid w:val="7DD07BE7"/>
    <w:rsid w:val="7DE251E9"/>
    <w:rsid w:val="7DFB12B6"/>
    <w:rsid w:val="7E0E0FAF"/>
    <w:rsid w:val="7E15502D"/>
    <w:rsid w:val="7E191A49"/>
    <w:rsid w:val="7E1B6AD0"/>
    <w:rsid w:val="7E1E5CF9"/>
    <w:rsid w:val="7E2D2FD1"/>
    <w:rsid w:val="7E51129A"/>
    <w:rsid w:val="7E514B00"/>
    <w:rsid w:val="7E517B83"/>
    <w:rsid w:val="7E575369"/>
    <w:rsid w:val="7E581720"/>
    <w:rsid w:val="7E592E6E"/>
    <w:rsid w:val="7E5A4FD2"/>
    <w:rsid w:val="7E727B75"/>
    <w:rsid w:val="7E744036"/>
    <w:rsid w:val="7E757AF7"/>
    <w:rsid w:val="7E7D5448"/>
    <w:rsid w:val="7E7E6921"/>
    <w:rsid w:val="7E833662"/>
    <w:rsid w:val="7E8343AD"/>
    <w:rsid w:val="7E853851"/>
    <w:rsid w:val="7E873F5B"/>
    <w:rsid w:val="7E877CED"/>
    <w:rsid w:val="7E8A5BA1"/>
    <w:rsid w:val="7E8A75DA"/>
    <w:rsid w:val="7E9D0713"/>
    <w:rsid w:val="7E9E4582"/>
    <w:rsid w:val="7EAA50AD"/>
    <w:rsid w:val="7EAC102F"/>
    <w:rsid w:val="7EB14263"/>
    <w:rsid w:val="7EC3150E"/>
    <w:rsid w:val="7EDA143E"/>
    <w:rsid w:val="7EDD6824"/>
    <w:rsid w:val="7EE127C8"/>
    <w:rsid w:val="7EEC7760"/>
    <w:rsid w:val="7F091A42"/>
    <w:rsid w:val="7F14706E"/>
    <w:rsid w:val="7F1A4407"/>
    <w:rsid w:val="7F1B511A"/>
    <w:rsid w:val="7F1D3723"/>
    <w:rsid w:val="7F355092"/>
    <w:rsid w:val="7F405483"/>
    <w:rsid w:val="7F417B69"/>
    <w:rsid w:val="7F5127F8"/>
    <w:rsid w:val="7F516F67"/>
    <w:rsid w:val="7F5325F0"/>
    <w:rsid w:val="7F5B201D"/>
    <w:rsid w:val="7F6B08C8"/>
    <w:rsid w:val="7F6F6CED"/>
    <w:rsid w:val="7F735319"/>
    <w:rsid w:val="7FA45F84"/>
    <w:rsid w:val="7FAB51F9"/>
    <w:rsid w:val="7FB24872"/>
    <w:rsid w:val="7FBD7CD7"/>
    <w:rsid w:val="7FCC08D8"/>
    <w:rsid w:val="7FCF0987"/>
    <w:rsid w:val="7FCF71C2"/>
    <w:rsid w:val="7FDE26C5"/>
    <w:rsid w:val="7FEB71CB"/>
    <w:rsid w:val="7FFC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rPr>
  </w:style>
  <w:style w:type="paragraph" w:customStyle="1" w:styleId="5">
    <w:name w:val="正文 + (中文) 仿宋_GB2312"/>
    <w:basedOn w:val="1"/>
    <w:qFormat/>
    <w:uiPriority w:val="0"/>
    <w:pPr>
      <w:adjustRightInd w:val="0"/>
      <w:snapToGrid w:val="0"/>
      <w:spacing w:line="560" w:lineRule="exact"/>
    </w:pPr>
    <w:rPr>
      <w:rFonts w:eastAsia="仿宋_GB2312"/>
      <w:sz w:val="30"/>
      <w:szCs w:val="30"/>
    </w:rPr>
  </w:style>
  <w:style w:type="paragraph" w:customStyle="1" w:styleId="6">
    <w:name w:val="标准正文"/>
    <w:qFormat/>
    <w:uiPriority w:val="99"/>
    <w:pPr>
      <w:spacing w:line="360" w:lineRule="auto"/>
      <w:ind w:firstLine="200" w:firstLineChars="200"/>
      <w:jc w:val="both"/>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2025-04-01T01:23:00Z</dcterms:created>
  <dc:creator>江杨</dc:creator>
  <cp:lastModifiedBy> </cp:lastModifiedBy>
  <dcterms:modified xsi:type="dcterms:W3CDTF">2025-04-01T06:04:13Z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DE9AB9546E284B0C918C652410AF197D</vt:lpwstr>
  </property>
</Properties>
</file>