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b/>
          <w:sz w:val="36"/>
          <w:szCs w:val="36"/>
          <w:highlight w:val="none"/>
          <w:lang w:val="en-US" w:eastAsia="zh-CN"/>
        </w:rPr>
      </w:pPr>
      <w:r>
        <w:rPr>
          <w:rFonts w:hint="eastAsia" w:ascii="方正小标宋简体" w:hAnsi="方正小标宋简体" w:eastAsia="方正小标宋简体" w:cs="方正小标宋简体"/>
          <w:b/>
          <w:sz w:val="36"/>
          <w:szCs w:val="36"/>
          <w:highlight w:val="none"/>
          <w:lang w:val="en-US" w:eastAsia="zh-CN"/>
        </w:rPr>
        <w:t>重庆北碚稠州村镇银行有限责任公司</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方正小标宋简体" w:hAnsi="方正小标宋简体" w:eastAsia="方正小标宋简体" w:cs="方正小标宋简体"/>
          <w:b/>
          <w:sz w:val="36"/>
          <w:szCs w:val="36"/>
          <w:highlight w:val="none"/>
          <w:lang w:val="en-US" w:eastAsia="zh-CN"/>
        </w:rPr>
      </w:pPr>
      <w:bookmarkStart w:id="0" w:name="_GoBack"/>
      <w:bookmarkEnd w:id="0"/>
      <w:r>
        <w:rPr>
          <w:rFonts w:hint="eastAsia" w:ascii="方正小标宋简体" w:hAnsi="方正小标宋简体" w:eastAsia="方正小标宋简体" w:cs="方正小标宋简体"/>
          <w:b/>
          <w:sz w:val="36"/>
          <w:szCs w:val="36"/>
          <w:highlight w:val="none"/>
        </w:rPr>
        <w:t>202</w:t>
      </w:r>
      <w:r>
        <w:rPr>
          <w:rFonts w:hint="eastAsia" w:ascii="方正小标宋简体" w:hAnsi="方正小标宋简体" w:eastAsia="方正小标宋简体" w:cs="方正小标宋简体"/>
          <w:b/>
          <w:sz w:val="36"/>
          <w:szCs w:val="36"/>
          <w:highlight w:val="none"/>
          <w:lang w:val="en-US" w:eastAsia="zh-CN"/>
        </w:rPr>
        <w:t>5</w:t>
      </w:r>
      <w:r>
        <w:rPr>
          <w:rFonts w:hint="eastAsia" w:ascii="方正小标宋简体" w:hAnsi="方正小标宋简体" w:eastAsia="方正小标宋简体" w:cs="方正小标宋简体"/>
          <w:b/>
          <w:sz w:val="36"/>
          <w:szCs w:val="36"/>
          <w:highlight w:val="none"/>
        </w:rPr>
        <w:t>年度</w:t>
      </w:r>
      <w:r>
        <w:rPr>
          <w:rFonts w:hint="eastAsia" w:ascii="方正小标宋简体" w:hAnsi="方正小标宋简体" w:eastAsia="方正小标宋简体" w:cs="方正小标宋简体"/>
          <w:b/>
          <w:sz w:val="36"/>
          <w:szCs w:val="36"/>
          <w:highlight w:val="none"/>
          <w:lang w:val="en-US" w:eastAsia="zh-CN"/>
        </w:rPr>
        <w:t>信息披露报告</w:t>
      </w:r>
    </w:p>
    <w:p>
      <w:pPr>
        <w:keepNext w:val="0"/>
        <w:keepLines w:val="0"/>
        <w:pageBreakBefore w:val="0"/>
        <w:widowControl w:val="0"/>
        <w:kinsoku/>
        <w:wordWrap/>
        <w:overflowPunct/>
        <w:topLinePunct w:val="0"/>
        <w:autoSpaceDE/>
        <w:autoSpaceDN/>
        <w:bidi w:val="0"/>
        <w:adjustRightInd/>
        <w:spacing w:line="560" w:lineRule="exact"/>
        <w:ind w:firstLine="600" w:firstLineChars="200"/>
        <w:jc w:val="both"/>
        <w:textAlignment w:val="auto"/>
        <w:rPr>
          <w:rFonts w:hint="eastAsia" w:ascii="Times New Roman" w:hAnsi="Times New Roman" w:eastAsia="仿宋_GB2312" w:cs="Times New Roman"/>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00" w:firstLineChars="200"/>
        <w:jc w:val="both"/>
        <w:textAlignment w:val="auto"/>
        <w:rPr>
          <w:rFonts w:hint="eastAsia" w:ascii="宋体" w:hAnsi="宋体" w:cs="宋体"/>
          <w:b/>
          <w:sz w:val="18"/>
          <w:szCs w:val="18"/>
          <w:highlight w:val="none"/>
        </w:rPr>
      </w:pPr>
      <w:r>
        <w:rPr>
          <w:rFonts w:hint="eastAsia" w:ascii="Times New Roman" w:hAnsi="Times New Roman" w:eastAsia="仿宋_GB2312" w:cs="Times New Roman"/>
          <w:sz w:val="30"/>
          <w:szCs w:val="30"/>
          <w:highlight w:val="none"/>
          <w:lang w:val="en-US" w:eastAsia="zh-CN"/>
        </w:rPr>
        <w:t>重庆北碚稠州村镇银行有限责任公司</w:t>
      </w:r>
      <w:r>
        <w:rPr>
          <w:rFonts w:hint="eastAsia" w:ascii="Times New Roman" w:hAnsi="Times New Roman" w:eastAsia="仿宋_GB2312" w:cs="Times New Roman"/>
          <w:sz w:val="30"/>
          <w:szCs w:val="30"/>
          <w:highlight w:val="none"/>
        </w:rPr>
        <w:t>202</w:t>
      </w:r>
      <w:r>
        <w:rPr>
          <w:rFonts w:hint="eastAsia" w:ascii="Times New Roman" w:hAnsi="Times New Roman" w:eastAsia="仿宋_GB2312" w:cs="Times New Roman"/>
          <w:sz w:val="30"/>
          <w:szCs w:val="30"/>
          <w:highlight w:val="none"/>
          <w:lang w:val="en-US" w:eastAsia="zh-CN"/>
        </w:rPr>
        <w:t>5</w:t>
      </w:r>
      <w:r>
        <w:rPr>
          <w:rFonts w:hint="eastAsia" w:ascii="Times New Roman" w:hAnsi="Times New Roman" w:eastAsia="仿宋_GB2312" w:cs="Times New Roman"/>
          <w:sz w:val="30"/>
          <w:szCs w:val="30"/>
          <w:highlight w:val="none"/>
        </w:rPr>
        <w:t>年度信息披露报告</w:t>
      </w:r>
      <w:r>
        <w:rPr>
          <w:rFonts w:hint="eastAsia" w:eastAsia="仿宋_GB2312" w:cs="Times New Roman"/>
          <w:sz w:val="30"/>
          <w:szCs w:val="30"/>
          <w:highlight w:val="none"/>
          <w:lang w:val="en-US" w:eastAsia="zh-CN"/>
        </w:rPr>
        <w:t>内容</w:t>
      </w:r>
      <w:r>
        <w:rPr>
          <w:rFonts w:hint="eastAsia" w:ascii="Times New Roman" w:hAnsi="Times New Roman" w:eastAsia="仿宋_GB2312" w:cs="Times New Roman"/>
          <w:sz w:val="30"/>
          <w:szCs w:val="30"/>
          <w:highlight w:val="none"/>
          <w:lang w:val="en-US" w:eastAsia="zh-CN"/>
        </w:rPr>
        <w:t>如下：</w:t>
      </w:r>
    </w:p>
    <w:p>
      <w:pPr>
        <w:keepNext w:val="0"/>
        <w:keepLines w:val="0"/>
        <w:pageBreakBefore w:val="0"/>
        <w:widowControl w:val="0"/>
        <w:kinsoku/>
        <w:wordWrap/>
        <w:overflowPunct/>
        <w:topLinePunct w:val="0"/>
        <w:autoSpaceDE/>
        <w:autoSpaceDN/>
        <w:bidi w:val="0"/>
        <w:adjustRightInd/>
        <w:spacing w:line="560" w:lineRule="exact"/>
        <w:ind w:firstLine="602" w:firstLineChars="200"/>
        <w:jc w:val="both"/>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1</w:t>
      </w:r>
      <w:r>
        <w:rPr>
          <w:rFonts w:hint="default" w:ascii="Times New Roman" w:hAnsi="Times New Roman" w:eastAsia="仿宋_GB2312" w:cs="Times New Roman"/>
          <w:b/>
          <w:sz w:val="30"/>
          <w:szCs w:val="30"/>
          <w:highlight w:val="none"/>
          <w:lang w:eastAsia="zh-CN"/>
        </w:rPr>
        <w:t>、</w:t>
      </w:r>
      <w:r>
        <w:rPr>
          <w:rFonts w:hint="default" w:ascii="Times New Roman" w:hAnsi="Times New Roman" w:eastAsia="仿宋_GB2312" w:cs="Times New Roman"/>
          <w:b/>
          <w:sz w:val="30"/>
          <w:szCs w:val="30"/>
          <w:highlight w:val="none"/>
        </w:rPr>
        <w:t>重要提示</w:t>
      </w:r>
    </w:p>
    <w:p>
      <w:pPr>
        <w:keepNext w:val="0"/>
        <w:keepLines w:val="0"/>
        <w:pageBreakBefore w:val="0"/>
        <w:widowControl w:val="0"/>
        <w:kinsoku/>
        <w:wordWrap/>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1.1</w:t>
      </w:r>
      <w:r>
        <w:rPr>
          <w:rFonts w:hint="default" w:ascii="Times New Roman" w:hAnsi="Times New Roman" w:eastAsia="仿宋_GB2312" w:cs="Times New Roman"/>
          <w:sz w:val="30"/>
          <w:szCs w:val="30"/>
          <w:highlight w:val="none"/>
          <w:lang w:eastAsia="zh-CN"/>
        </w:rPr>
        <w:t>重庆北碚稠州</w:t>
      </w:r>
      <w:r>
        <w:rPr>
          <w:rFonts w:hint="default" w:ascii="Times New Roman" w:hAnsi="Times New Roman" w:eastAsia="仿宋_GB2312" w:cs="Times New Roman"/>
          <w:sz w:val="30"/>
          <w:szCs w:val="30"/>
          <w:highlight w:val="none"/>
        </w:rPr>
        <w:t>村镇银行</w:t>
      </w:r>
      <w:r>
        <w:rPr>
          <w:rFonts w:hint="default" w:ascii="Times New Roman" w:hAnsi="Times New Roman" w:eastAsia="仿宋_GB2312" w:cs="Times New Roman"/>
          <w:sz w:val="30"/>
          <w:szCs w:val="30"/>
          <w:highlight w:val="none"/>
          <w:lang w:val="en-US" w:eastAsia="zh-CN"/>
        </w:rPr>
        <w:t>有限责任公司</w:t>
      </w:r>
      <w:r>
        <w:rPr>
          <w:rFonts w:hint="default" w:ascii="Times New Roman" w:hAnsi="Times New Roman" w:eastAsia="仿宋_GB2312" w:cs="Times New Roman"/>
          <w:sz w:val="30"/>
          <w:szCs w:val="30"/>
          <w:highlight w:val="none"/>
        </w:rPr>
        <w:t>（以下简称“本公司”或“本行”）董事会、</w:t>
      </w:r>
      <w:r>
        <w:rPr>
          <w:rFonts w:hint="eastAsia" w:eastAsia="仿宋_GB2312" w:cs="Times New Roman"/>
          <w:sz w:val="30"/>
          <w:szCs w:val="30"/>
          <w:highlight w:val="none"/>
          <w:lang w:val="en-US" w:eastAsia="zh-CN"/>
        </w:rPr>
        <w:t>审计委员会</w:t>
      </w:r>
      <w:r>
        <w:rPr>
          <w:rFonts w:hint="default" w:ascii="Times New Roman" w:hAnsi="Times New Roman" w:eastAsia="仿宋_GB2312" w:cs="Times New Roman"/>
          <w:sz w:val="30"/>
          <w:szCs w:val="30"/>
          <w:highlight w:val="none"/>
        </w:rPr>
        <w:t>及董事、</w:t>
      </w:r>
      <w:r>
        <w:rPr>
          <w:rFonts w:hint="eastAsia" w:eastAsia="仿宋_GB2312" w:cs="Times New Roman"/>
          <w:sz w:val="30"/>
          <w:szCs w:val="30"/>
          <w:highlight w:val="none"/>
          <w:lang w:val="en-US" w:eastAsia="zh-CN"/>
        </w:rPr>
        <w:t>审计委员会成员</w:t>
      </w:r>
      <w:r>
        <w:rPr>
          <w:rFonts w:hint="default" w:ascii="Times New Roman" w:hAnsi="Times New Roman" w:eastAsia="仿宋_GB2312" w:cs="Times New Roman"/>
          <w:sz w:val="30"/>
          <w:szCs w:val="30"/>
          <w:highlight w:val="none"/>
        </w:rPr>
        <w:t>、高级管理人员保证本报告所载资料不存在任何虚假记载、误导性陈述或者重大遗漏，并对其内容的真实性、准确性和完整性承担个别及连带责任。</w:t>
      </w:r>
    </w:p>
    <w:p>
      <w:pPr>
        <w:keepNext w:val="0"/>
        <w:keepLines w:val="0"/>
        <w:pageBreakBefore w:val="0"/>
        <w:widowControl w:val="0"/>
        <w:kinsoku/>
        <w:wordWrap/>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sz w:val="30"/>
          <w:szCs w:val="30"/>
          <w:highlight w:val="none"/>
        </w:rPr>
        <w:t>1.2上会会计师事务所</w:t>
      </w:r>
      <w:r>
        <w:rPr>
          <w:rFonts w:hint="default" w:ascii="Times New Roman" w:hAnsi="Times New Roman" w:eastAsia="仿宋_GB2312" w:cs="Times New Roman"/>
          <w:kern w:val="0"/>
          <w:sz w:val="30"/>
          <w:szCs w:val="30"/>
          <w:highlight w:val="none"/>
        </w:rPr>
        <w:t>为本公司出具了标准无保留意见的审计报告。</w:t>
      </w:r>
    </w:p>
    <w:p>
      <w:pPr>
        <w:keepNext w:val="0"/>
        <w:keepLines w:val="0"/>
        <w:pageBreakBefore w:val="0"/>
        <w:widowControl w:val="0"/>
        <w:kinsoku/>
        <w:wordWrap/>
        <w:overflowPunct/>
        <w:topLinePunct w:val="0"/>
        <w:autoSpaceDE/>
        <w:autoSpaceDN/>
        <w:bidi w:val="0"/>
        <w:adjustRightIn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1.3</w:t>
      </w:r>
      <w:r>
        <w:rPr>
          <w:rFonts w:hint="default" w:ascii="Times New Roman" w:hAnsi="Times New Roman" w:eastAsia="仿宋_GB2312" w:cs="Times New Roman"/>
          <w:kern w:val="0"/>
          <w:sz w:val="30"/>
          <w:szCs w:val="30"/>
          <w:highlight w:val="none"/>
        </w:rPr>
        <w:t>公司法定代表人</w:t>
      </w:r>
      <w:r>
        <w:rPr>
          <w:rFonts w:hint="default" w:ascii="Times New Roman" w:hAnsi="Times New Roman" w:eastAsia="仿宋_GB2312" w:cs="Times New Roman"/>
          <w:kern w:val="0"/>
          <w:sz w:val="30"/>
          <w:szCs w:val="30"/>
          <w:highlight w:val="none"/>
          <w:lang w:val="en-US" w:eastAsia="zh-CN"/>
        </w:rPr>
        <w:t>金庆洪</w:t>
      </w:r>
      <w:r>
        <w:rPr>
          <w:rFonts w:hint="default" w:ascii="Times New Roman" w:hAnsi="Times New Roman" w:eastAsia="仿宋_GB2312" w:cs="Times New Roman"/>
          <w:kern w:val="0"/>
          <w:sz w:val="30"/>
          <w:szCs w:val="30"/>
          <w:highlight w:val="none"/>
        </w:rPr>
        <w:t>先生、行长</w:t>
      </w:r>
      <w:r>
        <w:rPr>
          <w:rFonts w:hint="default" w:ascii="Times New Roman" w:hAnsi="Times New Roman" w:eastAsia="仿宋_GB2312" w:cs="Times New Roman"/>
          <w:kern w:val="0"/>
          <w:sz w:val="30"/>
          <w:szCs w:val="30"/>
          <w:highlight w:val="none"/>
          <w:lang w:val="en-US" w:eastAsia="zh-CN"/>
        </w:rPr>
        <w:t>陈余娟女士</w:t>
      </w:r>
      <w:r>
        <w:rPr>
          <w:rFonts w:hint="default" w:ascii="Times New Roman" w:hAnsi="Times New Roman" w:eastAsia="仿宋_GB2312" w:cs="Times New Roman"/>
          <w:kern w:val="0"/>
          <w:sz w:val="30"/>
          <w:szCs w:val="30"/>
          <w:highlight w:val="none"/>
        </w:rPr>
        <w:t>、运营管理部负责人</w:t>
      </w:r>
      <w:r>
        <w:rPr>
          <w:rFonts w:hint="eastAsia" w:eastAsia="仿宋_GB2312" w:cs="Times New Roman"/>
          <w:kern w:val="0"/>
          <w:sz w:val="30"/>
          <w:szCs w:val="30"/>
          <w:highlight w:val="none"/>
          <w:lang w:val="en-US" w:eastAsia="zh-CN"/>
        </w:rPr>
        <w:t>李思岚女士</w:t>
      </w:r>
      <w:r>
        <w:rPr>
          <w:rFonts w:hint="default" w:ascii="Times New Roman" w:hAnsi="Times New Roman" w:eastAsia="仿宋_GB2312" w:cs="Times New Roman"/>
          <w:kern w:val="0"/>
          <w:sz w:val="30"/>
          <w:szCs w:val="30"/>
          <w:highlight w:val="none"/>
        </w:rPr>
        <w:t>声明：保证年度报告中财务数据的真实、完整。</w:t>
      </w:r>
    </w:p>
    <w:p>
      <w:pPr>
        <w:keepNext w:val="0"/>
        <w:keepLines w:val="0"/>
        <w:pageBreakBefore w:val="0"/>
        <w:widowControl w:val="0"/>
        <w:kinsoku/>
        <w:wordWrap/>
        <w:overflowPunct/>
        <w:topLinePunct w:val="0"/>
        <w:autoSpaceDE/>
        <w:autoSpaceDN/>
        <w:bidi w:val="0"/>
        <w:adjustRightInd/>
        <w:spacing w:line="560" w:lineRule="exact"/>
        <w:ind w:firstLine="602" w:firstLineChars="200"/>
        <w:jc w:val="both"/>
        <w:textAlignment w:val="auto"/>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2</w:t>
      </w:r>
      <w:r>
        <w:rPr>
          <w:rFonts w:hint="default" w:ascii="Times New Roman" w:hAnsi="Times New Roman" w:eastAsia="仿宋_GB2312" w:cs="Times New Roman"/>
          <w:b/>
          <w:sz w:val="30"/>
          <w:szCs w:val="30"/>
          <w:highlight w:val="none"/>
          <w:lang w:eastAsia="zh-CN"/>
        </w:rPr>
        <w:t>、</w:t>
      </w:r>
      <w:r>
        <w:rPr>
          <w:rFonts w:hint="default" w:ascii="Times New Roman" w:hAnsi="Times New Roman" w:eastAsia="仿宋_GB2312" w:cs="Times New Roman"/>
          <w:b/>
          <w:sz w:val="30"/>
          <w:szCs w:val="30"/>
          <w:highlight w:val="none"/>
        </w:rPr>
        <w:t>本公司基本情况简介</w:t>
      </w:r>
    </w:p>
    <w:p>
      <w:pPr>
        <w:keepNext w:val="0"/>
        <w:keepLines w:val="0"/>
        <w:pageBreakBefore w:val="0"/>
        <w:widowControl w:val="0"/>
        <w:kinsoku/>
        <w:wordWrap/>
        <w:overflowPunct/>
        <w:topLinePunct w:val="0"/>
        <w:autoSpaceDE/>
        <w:autoSpaceDN/>
        <w:bidi w:val="0"/>
        <w:adjustRightInd/>
        <w:spacing w:line="560" w:lineRule="exact"/>
        <w:ind w:firstLine="602"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kern w:val="0"/>
          <w:sz w:val="30"/>
          <w:szCs w:val="30"/>
          <w:highlight w:val="none"/>
        </w:rPr>
        <w:t>2.1基本情况简介</w:t>
      </w:r>
    </w:p>
    <w:tbl>
      <w:tblPr>
        <w:tblStyle w:val="4"/>
        <w:tblW w:w="8320" w:type="dxa"/>
        <w:jc w:val="center"/>
        <w:tblLayout w:type="fixed"/>
        <w:tblCellMar>
          <w:top w:w="0" w:type="dxa"/>
          <w:left w:w="0" w:type="dxa"/>
          <w:bottom w:w="0" w:type="dxa"/>
          <w:right w:w="0" w:type="dxa"/>
        </w:tblCellMar>
      </w:tblPr>
      <w:tblGrid>
        <w:gridCol w:w="2788"/>
        <w:gridCol w:w="5532"/>
      </w:tblGrid>
      <w:tr>
        <w:tblPrEx>
          <w:tblCellMar>
            <w:top w:w="0" w:type="dxa"/>
            <w:left w:w="0" w:type="dxa"/>
            <w:bottom w:w="0" w:type="dxa"/>
            <w:right w:w="0" w:type="dxa"/>
          </w:tblCellMar>
        </w:tblPrEx>
        <w:trPr>
          <w:trHeight w:val="575"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法定中文名称</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lang w:eastAsia="zh-CN"/>
              </w:rPr>
              <w:t>重庆北碚稠州</w:t>
            </w:r>
            <w:r>
              <w:rPr>
                <w:rFonts w:hint="default" w:ascii="Times New Roman" w:hAnsi="Times New Roman" w:eastAsia="仿宋_GB2312" w:cs="Times New Roman"/>
                <w:sz w:val="24"/>
                <w:szCs w:val="24"/>
                <w:highlight w:val="none"/>
              </w:rPr>
              <w:t>村镇银行有限</w:t>
            </w:r>
            <w:r>
              <w:rPr>
                <w:rFonts w:hint="default" w:ascii="Times New Roman" w:hAnsi="Times New Roman" w:eastAsia="仿宋_GB2312" w:cs="Times New Roman"/>
                <w:sz w:val="24"/>
                <w:szCs w:val="24"/>
                <w:highlight w:val="none"/>
                <w:lang w:val="en-US" w:eastAsia="zh-CN"/>
              </w:rPr>
              <w:t>责任</w:t>
            </w:r>
            <w:r>
              <w:rPr>
                <w:rFonts w:hint="default" w:ascii="Times New Roman" w:hAnsi="Times New Roman" w:eastAsia="仿宋_GB2312" w:cs="Times New Roman"/>
                <w:sz w:val="24"/>
                <w:szCs w:val="24"/>
                <w:highlight w:val="none"/>
              </w:rPr>
              <w:t>公司（简称：</w:t>
            </w:r>
            <w:r>
              <w:rPr>
                <w:rFonts w:hint="default" w:ascii="Times New Roman" w:hAnsi="Times New Roman" w:eastAsia="仿宋_GB2312" w:cs="Times New Roman"/>
                <w:sz w:val="24"/>
                <w:szCs w:val="24"/>
                <w:highlight w:val="none"/>
                <w:lang w:eastAsia="zh-CN"/>
              </w:rPr>
              <w:t>重庆北碚稠州</w:t>
            </w:r>
            <w:r>
              <w:rPr>
                <w:rFonts w:hint="default" w:ascii="Times New Roman" w:hAnsi="Times New Roman" w:eastAsia="仿宋_GB2312" w:cs="Times New Roman"/>
                <w:sz w:val="24"/>
                <w:szCs w:val="24"/>
                <w:highlight w:val="none"/>
              </w:rPr>
              <w:t>村镇银行）</w:t>
            </w:r>
          </w:p>
        </w:tc>
      </w:tr>
      <w:tr>
        <w:tblPrEx>
          <w:tblCellMar>
            <w:top w:w="0" w:type="dxa"/>
            <w:left w:w="0" w:type="dxa"/>
            <w:bottom w:w="0" w:type="dxa"/>
            <w:right w:w="0" w:type="dxa"/>
          </w:tblCellMar>
        </w:tblPrEx>
        <w:trPr>
          <w:trHeight w:val="350"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法定英文名称</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pStyle w:val="6"/>
              <w:spacing w:line="500" w:lineRule="exact"/>
              <w:ind w:firstLine="240" w:firstLineChars="100"/>
              <w:jc w:val="both"/>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CHONGQING BEIBEI CHOUZHOU RURAL BANK</w:t>
            </w:r>
          </w:p>
        </w:tc>
      </w:tr>
      <w:tr>
        <w:tblPrEx>
          <w:tblCellMar>
            <w:top w:w="0" w:type="dxa"/>
            <w:left w:w="0" w:type="dxa"/>
            <w:bottom w:w="0" w:type="dxa"/>
            <w:right w:w="0" w:type="dxa"/>
          </w:tblCellMar>
        </w:tblPrEx>
        <w:trPr>
          <w:trHeight w:val="208"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法定代表人</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lang w:val="en-US" w:eastAsia="zh-CN"/>
              </w:rPr>
              <w:t>金庆洪</w:t>
            </w:r>
          </w:p>
        </w:tc>
      </w:tr>
      <w:tr>
        <w:tblPrEx>
          <w:tblCellMar>
            <w:top w:w="0" w:type="dxa"/>
            <w:left w:w="0" w:type="dxa"/>
            <w:bottom w:w="0" w:type="dxa"/>
            <w:right w:w="0" w:type="dxa"/>
          </w:tblCellMar>
        </w:tblPrEx>
        <w:trPr>
          <w:trHeight w:val="328"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注册地址</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sz w:val="24"/>
                <w:szCs w:val="24"/>
                <w:highlight w:val="none"/>
                <w:lang w:val="en-US" w:eastAsia="zh-CN"/>
              </w:rPr>
              <w:t>重庆市北碚区云华路</w:t>
            </w:r>
            <w:r>
              <w:rPr>
                <w:rFonts w:hint="eastAsia" w:eastAsia="仿宋_GB2312" w:cs="Times New Roman"/>
                <w:sz w:val="24"/>
                <w:szCs w:val="24"/>
                <w:highlight w:val="none"/>
                <w:lang w:val="en-US" w:eastAsia="zh-CN"/>
              </w:rPr>
              <w:t>170号附2号、3-1</w:t>
            </w:r>
          </w:p>
        </w:tc>
      </w:tr>
      <w:tr>
        <w:tblPrEx>
          <w:tblCellMar>
            <w:top w:w="0" w:type="dxa"/>
            <w:left w:w="0" w:type="dxa"/>
            <w:bottom w:w="0" w:type="dxa"/>
            <w:right w:w="0" w:type="dxa"/>
          </w:tblCellMar>
        </w:tblPrEx>
        <w:trPr>
          <w:trHeight w:val="328"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邮政编码</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400700</w:t>
            </w:r>
          </w:p>
        </w:tc>
      </w:tr>
      <w:tr>
        <w:tblPrEx>
          <w:tblCellMar>
            <w:top w:w="0" w:type="dxa"/>
            <w:left w:w="0" w:type="dxa"/>
            <w:bottom w:w="0" w:type="dxa"/>
            <w:right w:w="0" w:type="dxa"/>
          </w:tblCellMar>
        </w:tblPrEx>
        <w:trPr>
          <w:trHeight w:val="328"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国际互联网网址</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sz w:val="24"/>
                <w:szCs w:val="24"/>
                <w:highlight w:val="none"/>
                <w:lang w:val="en-US" w:eastAsia="zh-CN"/>
              </w:rPr>
              <w:t>http：//bb.czcb.com.cn</w:t>
            </w:r>
          </w:p>
        </w:tc>
      </w:tr>
      <w:tr>
        <w:tblPrEx>
          <w:tblCellMar>
            <w:top w:w="0" w:type="dxa"/>
            <w:left w:w="0" w:type="dxa"/>
            <w:bottom w:w="0" w:type="dxa"/>
            <w:right w:w="0" w:type="dxa"/>
          </w:tblCellMar>
        </w:tblPrEx>
        <w:trPr>
          <w:trHeight w:val="328" w:hRule="atLeast"/>
          <w:jc w:val="center"/>
        </w:trPr>
        <w:tc>
          <w:tcPr>
            <w:tcW w:w="2788"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kern w:val="0"/>
                <w:position w:val="-2"/>
                <w:sz w:val="24"/>
                <w:szCs w:val="24"/>
                <w:highlight w:val="none"/>
              </w:rPr>
            </w:pPr>
            <w:r>
              <w:rPr>
                <w:rFonts w:hint="default" w:ascii="Times New Roman" w:hAnsi="Times New Roman" w:eastAsia="仿宋_GB2312" w:cs="Times New Roman"/>
                <w:kern w:val="0"/>
                <w:position w:val="-2"/>
                <w:sz w:val="24"/>
                <w:szCs w:val="24"/>
                <w:highlight w:val="none"/>
              </w:rPr>
              <w:t>电子信箱</w:t>
            </w:r>
          </w:p>
        </w:tc>
        <w:tc>
          <w:tcPr>
            <w:tcW w:w="553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240" w:firstLineChars="100"/>
              <w:jc w:val="both"/>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u w:val="single"/>
                <w:lang w:val="en-US" w:eastAsia="zh-CN"/>
              </w:rPr>
              <w:t>bbczrb@163.com</w:t>
            </w:r>
          </w:p>
        </w:tc>
      </w:tr>
    </w:tbl>
    <w:p>
      <w:pPr>
        <w:ind w:firstLine="590" w:firstLineChars="196"/>
        <w:jc w:val="both"/>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2.2信息披露及联系方式</w:t>
      </w:r>
    </w:p>
    <w:tbl>
      <w:tblPr>
        <w:tblStyle w:val="4"/>
        <w:tblW w:w="8320" w:type="dxa"/>
        <w:jc w:val="center"/>
        <w:tblLayout w:type="fixed"/>
        <w:tblCellMar>
          <w:top w:w="0" w:type="dxa"/>
          <w:left w:w="0" w:type="dxa"/>
          <w:bottom w:w="0" w:type="dxa"/>
          <w:right w:w="0" w:type="dxa"/>
        </w:tblCellMar>
      </w:tblPr>
      <w:tblGrid>
        <w:gridCol w:w="2787"/>
        <w:gridCol w:w="5533"/>
      </w:tblGrid>
      <w:tr>
        <w:tblPrEx>
          <w:tblCellMar>
            <w:top w:w="0" w:type="dxa"/>
            <w:left w:w="0" w:type="dxa"/>
            <w:bottom w:w="0" w:type="dxa"/>
            <w:right w:w="0" w:type="dxa"/>
          </w:tblCellMar>
        </w:tblPrEx>
        <w:trPr>
          <w:trHeight w:val="357" w:hRule="atLeast"/>
          <w:jc w:val="center"/>
        </w:trPr>
        <w:tc>
          <w:tcPr>
            <w:tcW w:w="278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0" w:firstLineChars="5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刊登年报摘要的网站</w:t>
            </w:r>
          </w:p>
        </w:tc>
        <w:tc>
          <w:tcPr>
            <w:tcW w:w="55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 xml:space="preserve"> </w:t>
            </w:r>
            <w:r>
              <w:rPr>
                <w:rFonts w:hint="default" w:ascii="Times New Roman" w:hAnsi="Times New Roman" w:eastAsia="仿宋_GB2312" w:cs="Times New Roman"/>
                <w:sz w:val="24"/>
                <w:szCs w:val="24"/>
                <w:highlight w:val="none"/>
                <w:lang w:eastAsia="zh-CN"/>
              </w:rPr>
              <w:t>重庆北碚稠州</w:t>
            </w:r>
            <w:r>
              <w:rPr>
                <w:rFonts w:hint="default" w:ascii="Times New Roman" w:hAnsi="Times New Roman" w:eastAsia="仿宋_GB2312" w:cs="Times New Roman"/>
                <w:sz w:val="24"/>
                <w:szCs w:val="24"/>
                <w:highlight w:val="none"/>
              </w:rPr>
              <w:t>村镇银行有限</w:t>
            </w:r>
            <w:r>
              <w:rPr>
                <w:rFonts w:hint="default" w:ascii="Times New Roman" w:hAnsi="Times New Roman" w:eastAsia="仿宋_GB2312" w:cs="Times New Roman"/>
                <w:sz w:val="24"/>
                <w:szCs w:val="24"/>
                <w:highlight w:val="none"/>
                <w:lang w:val="en-US" w:eastAsia="zh-CN"/>
              </w:rPr>
              <w:t>责任</w:t>
            </w:r>
            <w:r>
              <w:rPr>
                <w:rFonts w:hint="default" w:ascii="Times New Roman" w:hAnsi="Times New Roman" w:eastAsia="仿宋_GB2312" w:cs="Times New Roman"/>
                <w:sz w:val="24"/>
                <w:szCs w:val="24"/>
                <w:highlight w:val="none"/>
              </w:rPr>
              <w:t>公司官方网站</w:t>
            </w:r>
          </w:p>
        </w:tc>
      </w:tr>
      <w:tr>
        <w:tblPrEx>
          <w:tblCellMar>
            <w:top w:w="0" w:type="dxa"/>
            <w:left w:w="0" w:type="dxa"/>
            <w:bottom w:w="0" w:type="dxa"/>
            <w:right w:w="0" w:type="dxa"/>
          </w:tblCellMar>
        </w:tblPrEx>
        <w:trPr>
          <w:trHeight w:val="357" w:hRule="atLeast"/>
          <w:jc w:val="center"/>
        </w:trPr>
        <w:tc>
          <w:tcPr>
            <w:tcW w:w="278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0" w:firstLineChars="5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年度报告备置地点</w:t>
            </w:r>
          </w:p>
        </w:tc>
        <w:tc>
          <w:tcPr>
            <w:tcW w:w="55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10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本行董事会办公室</w:t>
            </w:r>
          </w:p>
        </w:tc>
      </w:tr>
      <w:tr>
        <w:tblPrEx>
          <w:tblCellMar>
            <w:top w:w="0" w:type="dxa"/>
            <w:left w:w="0" w:type="dxa"/>
            <w:bottom w:w="0" w:type="dxa"/>
            <w:right w:w="0" w:type="dxa"/>
          </w:tblCellMar>
        </w:tblPrEx>
        <w:trPr>
          <w:trHeight w:val="357" w:hRule="atLeast"/>
          <w:jc w:val="center"/>
        </w:trPr>
        <w:tc>
          <w:tcPr>
            <w:tcW w:w="278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0" w:firstLineChars="5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地址</w:t>
            </w:r>
          </w:p>
        </w:tc>
        <w:tc>
          <w:tcPr>
            <w:tcW w:w="55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101"/>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lang w:val="en-US" w:eastAsia="zh-CN"/>
              </w:rPr>
              <w:t>重庆市北碚区云华</w:t>
            </w:r>
            <w:r>
              <w:rPr>
                <w:rFonts w:hint="default" w:ascii="Times New Roman" w:hAnsi="Times New Roman" w:eastAsia="仿宋_GB2312" w:cs="Times New Roman"/>
                <w:color w:val="auto"/>
                <w:sz w:val="24"/>
                <w:szCs w:val="24"/>
                <w:highlight w:val="none"/>
                <w:lang w:val="en-US" w:eastAsia="zh-CN"/>
              </w:rPr>
              <w:t>路</w:t>
            </w:r>
            <w:r>
              <w:rPr>
                <w:rFonts w:hint="eastAsia" w:eastAsia="仿宋_GB2312" w:cs="Times New Roman"/>
                <w:color w:val="auto"/>
                <w:sz w:val="24"/>
                <w:szCs w:val="24"/>
                <w:highlight w:val="none"/>
                <w:lang w:val="en-US" w:eastAsia="zh-CN"/>
              </w:rPr>
              <w:t>170</w:t>
            </w:r>
            <w:r>
              <w:rPr>
                <w:rFonts w:hint="default" w:ascii="Times New Roman" w:hAnsi="Times New Roman" w:eastAsia="仿宋_GB2312" w:cs="Times New Roman"/>
                <w:color w:val="auto"/>
                <w:sz w:val="24"/>
                <w:szCs w:val="24"/>
                <w:highlight w:val="none"/>
                <w:lang w:val="en-US" w:eastAsia="zh-CN"/>
              </w:rPr>
              <w:t>号</w:t>
            </w:r>
          </w:p>
        </w:tc>
      </w:tr>
      <w:tr>
        <w:tblPrEx>
          <w:tblCellMar>
            <w:top w:w="0" w:type="dxa"/>
            <w:left w:w="0" w:type="dxa"/>
            <w:bottom w:w="0" w:type="dxa"/>
            <w:right w:w="0" w:type="dxa"/>
          </w:tblCellMar>
        </w:tblPrEx>
        <w:trPr>
          <w:trHeight w:val="357" w:hRule="atLeast"/>
          <w:jc w:val="center"/>
        </w:trPr>
        <w:tc>
          <w:tcPr>
            <w:tcW w:w="278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0" w:firstLineChars="5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position w:val="-2"/>
                <w:sz w:val="24"/>
                <w:szCs w:val="24"/>
                <w:highlight w:val="none"/>
              </w:rPr>
              <w:t>联系电话</w:t>
            </w:r>
          </w:p>
        </w:tc>
        <w:tc>
          <w:tcPr>
            <w:tcW w:w="55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both"/>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kern w:val="0"/>
                <w:sz w:val="24"/>
                <w:szCs w:val="24"/>
                <w:highlight w:val="none"/>
              </w:rPr>
              <w:t xml:space="preserve"> </w:t>
            </w:r>
            <w:r>
              <w:rPr>
                <w:rFonts w:hint="default" w:ascii="Times New Roman" w:hAnsi="Times New Roman" w:eastAsia="仿宋_GB2312" w:cs="Times New Roman"/>
                <w:kern w:val="0"/>
                <w:sz w:val="24"/>
                <w:szCs w:val="24"/>
                <w:highlight w:val="none"/>
                <w:lang w:val="en-US" w:eastAsia="zh-CN"/>
              </w:rPr>
              <w:t>023-88028855</w:t>
            </w:r>
          </w:p>
        </w:tc>
      </w:tr>
      <w:tr>
        <w:tblPrEx>
          <w:tblCellMar>
            <w:top w:w="0" w:type="dxa"/>
            <w:left w:w="0" w:type="dxa"/>
            <w:bottom w:w="0" w:type="dxa"/>
            <w:right w:w="0" w:type="dxa"/>
          </w:tblCellMar>
        </w:tblPrEx>
        <w:trPr>
          <w:trHeight w:val="387" w:hRule="atLeast"/>
          <w:jc w:val="center"/>
        </w:trPr>
        <w:tc>
          <w:tcPr>
            <w:tcW w:w="278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1" w:firstLineChars="50"/>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pacing w:val="1"/>
                <w:kern w:val="0"/>
                <w:position w:val="-2"/>
                <w:sz w:val="24"/>
                <w:szCs w:val="24"/>
                <w:highlight w:val="none"/>
              </w:rPr>
              <w:t>传真</w:t>
            </w:r>
          </w:p>
        </w:tc>
        <w:tc>
          <w:tcPr>
            <w:tcW w:w="5533"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102"/>
              <w:jc w:val="both"/>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lang w:val="en-US" w:eastAsia="zh-CN"/>
              </w:rPr>
              <w:t>023-88028855</w:t>
            </w:r>
          </w:p>
        </w:tc>
      </w:tr>
    </w:tbl>
    <w:p>
      <w:pPr>
        <w:ind w:firstLine="602" w:firstLineChars="200"/>
        <w:jc w:val="both"/>
        <w:rPr>
          <w:rFonts w:hint="default" w:ascii="Times New Roman" w:hAnsi="Times New Roman" w:eastAsia="仿宋_GB2312" w:cs="Times New Roman"/>
          <w:b/>
          <w:bCs/>
          <w:sz w:val="30"/>
          <w:szCs w:val="30"/>
          <w:highlight w:val="none"/>
        </w:rPr>
      </w:pPr>
      <w:r>
        <w:rPr>
          <w:rFonts w:hint="default" w:ascii="Times New Roman" w:hAnsi="Times New Roman" w:eastAsia="仿宋_GB2312" w:cs="Times New Roman"/>
          <w:b/>
          <w:bCs/>
          <w:sz w:val="30"/>
          <w:szCs w:val="30"/>
          <w:highlight w:val="none"/>
        </w:rPr>
        <w:t>3</w:t>
      </w:r>
      <w:r>
        <w:rPr>
          <w:rFonts w:hint="default" w:ascii="Times New Roman" w:hAnsi="Times New Roman" w:eastAsia="仿宋_GB2312" w:cs="Times New Roman"/>
          <w:b/>
          <w:bCs/>
          <w:sz w:val="30"/>
          <w:szCs w:val="30"/>
          <w:highlight w:val="none"/>
          <w:lang w:eastAsia="zh-CN"/>
        </w:rPr>
        <w:t>、</w:t>
      </w:r>
      <w:r>
        <w:rPr>
          <w:rFonts w:hint="default" w:ascii="Times New Roman" w:hAnsi="Times New Roman" w:eastAsia="仿宋_GB2312" w:cs="Times New Roman"/>
          <w:b/>
          <w:bCs/>
          <w:sz w:val="30"/>
          <w:szCs w:val="30"/>
          <w:highlight w:val="none"/>
        </w:rPr>
        <w:t>会计数据和业务数据摘要</w:t>
      </w:r>
    </w:p>
    <w:p>
      <w:pPr>
        <w:autoSpaceDE w:val="0"/>
        <w:autoSpaceDN w:val="0"/>
        <w:adjustRightInd w:val="0"/>
        <w:ind w:firstLine="602" w:firstLineChars="200"/>
        <w:jc w:val="both"/>
        <w:rPr>
          <w:rFonts w:hint="default" w:ascii="Times New Roman" w:hAnsi="Times New Roman" w:cs="Times New Roman"/>
          <w:kern w:val="0"/>
          <w:position w:val="-2"/>
          <w:szCs w:val="21"/>
          <w:highlight w:val="none"/>
        </w:rPr>
      </w:pPr>
      <w:r>
        <w:rPr>
          <w:rFonts w:hint="default" w:ascii="Times New Roman" w:hAnsi="Times New Roman" w:eastAsia="仿宋_GB2312" w:cs="Times New Roman"/>
          <w:b/>
          <w:kern w:val="0"/>
          <w:sz w:val="30"/>
          <w:szCs w:val="30"/>
          <w:highlight w:val="none"/>
        </w:rPr>
        <w:t>3.1 主要会计数据</w:t>
      </w:r>
      <w:r>
        <w:rPr>
          <w:rFonts w:hint="default" w:ascii="Times New Roman" w:hAnsi="Times New Roman" w:eastAsia="仿宋_GB2312" w:cs="Times New Roman"/>
          <w:kern w:val="0"/>
          <w:position w:val="-2"/>
          <w:sz w:val="30"/>
          <w:szCs w:val="30"/>
          <w:highlight w:val="none"/>
        </w:rPr>
        <w:t xml:space="preserve">         </w:t>
      </w:r>
      <w:r>
        <w:rPr>
          <w:rFonts w:hint="default" w:ascii="Times New Roman" w:hAnsi="Times New Roman" w:cs="Times New Roman"/>
          <w:kern w:val="0"/>
          <w:position w:val="-2"/>
          <w:szCs w:val="21"/>
          <w:highlight w:val="none"/>
        </w:rPr>
        <w:t xml:space="preserve">                                       </w:t>
      </w:r>
    </w:p>
    <w:p>
      <w:pPr>
        <w:autoSpaceDE w:val="0"/>
        <w:autoSpaceDN w:val="0"/>
        <w:adjustRightInd w:val="0"/>
        <w:ind w:firstLine="420" w:firstLineChars="200"/>
        <w:jc w:val="both"/>
        <w:rPr>
          <w:rFonts w:hint="default" w:ascii="Times New Roman" w:hAnsi="Times New Roman" w:cs="Times New Roman"/>
          <w:kern w:val="0"/>
          <w:position w:val="-2"/>
          <w:szCs w:val="21"/>
          <w:highlight w:val="none"/>
        </w:rPr>
      </w:pPr>
      <w:r>
        <w:rPr>
          <w:rFonts w:hint="default" w:ascii="Times New Roman" w:hAnsi="Times New Roman" w:cs="Times New Roman"/>
          <w:szCs w:val="21"/>
          <w:highlight w:val="none"/>
        </w:rPr>
        <w:t>单位：人民币万元</w:t>
      </w:r>
    </w:p>
    <w:tbl>
      <w:tblPr>
        <w:tblStyle w:val="4"/>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6"/>
        <w:gridCol w:w="5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86" w:type="dxa"/>
            <w:noWrap w:val="0"/>
            <w:vAlign w:val="center"/>
          </w:tcPr>
          <w:p>
            <w:pPr>
              <w:autoSpaceDE w:val="0"/>
              <w:autoSpaceDN w:val="0"/>
              <w:adjustRightInd w:val="0"/>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主要会计数据</w:t>
            </w:r>
          </w:p>
        </w:tc>
        <w:tc>
          <w:tcPr>
            <w:tcW w:w="5622" w:type="dxa"/>
            <w:noWrap w:val="0"/>
            <w:vAlign w:val="center"/>
          </w:tcPr>
          <w:p>
            <w:pPr>
              <w:autoSpaceDE w:val="0"/>
              <w:autoSpaceDN w:val="0"/>
              <w:adjustRightInd w:val="0"/>
              <w:jc w:val="center"/>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202</w:t>
            </w:r>
            <w:r>
              <w:rPr>
                <w:rFonts w:hint="eastAsia" w:eastAsia="仿宋_GB2312" w:cs="Times New Roman"/>
                <w:b/>
                <w:color w:val="auto"/>
                <w:kern w:val="0"/>
                <w:sz w:val="24"/>
                <w:szCs w:val="24"/>
                <w:highlight w:val="none"/>
                <w:lang w:val="en-US" w:eastAsia="zh-CN"/>
              </w:rPr>
              <w:t>5</w:t>
            </w:r>
            <w:r>
              <w:rPr>
                <w:rFonts w:hint="default" w:ascii="Times New Roman" w:hAnsi="Times New Roman" w:eastAsia="仿宋_GB2312" w:cs="Times New Roman"/>
                <w:b/>
                <w:color w:val="auto"/>
                <w:kern w:val="0"/>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86" w:type="dxa"/>
            <w:noWrap w:val="0"/>
            <w:vAlign w:val="center"/>
          </w:tcPr>
          <w:p>
            <w:pPr>
              <w:autoSpaceDE w:val="0"/>
              <w:autoSpaceDN w:val="0"/>
              <w:adjustRightInd w:val="0"/>
              <w:ind w:left="10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1"/>
                <w:kern w:val="0"/>
                <w:position w:val="-2"/>
                <w:sz w:val="24"/>
                <w:szCs w:val="24"/>
                <w:highlight w:val="none"/>
                <w14:textFill>
                  <w14:solidFill>
                    <w14:schemeClr w14:val="tx1"/>
                  </w14:solidFill>
                </w14:textFill>
              </w:rPr>
              <w:t>营业收入</w:t>
            </w:r>
          </w:p>
        </w:tc>
        <w:tc>
          <w:tcPr>
            <w:tcW w:w="5622" w:type="dxa"/>
            <w:noWrap w:val="0"/>
            <w:vAlign w:val="center"/>
          </w:tcPr>
          <w:p>
            <w:pPr>
              <w:widowControl/>
              <w:jc w:val="center"/>
              <w:textAlignment w:val="center"/>
              <w:rPr>
                <w:rFonts w:hint="default" w:ascii="Times New Roman" w:hAnsi="Times New Roman" w:eastAsia="仿宋_GB2312" w:cs="Times New Roman"/>
                <w:color w:val="000000" w:themeColor="text1"/>
                <w:sz w:val="24"/>
                <w:szCs w:val="24"/>
                <w:highlight w:val="none"/>
                <w:lang w:val="en-US"/>
                <w14:textFill>
                  <w14:solidFill>
                    <w14:schemeClr w14:val="tx1"/>
                  </w14:solidFill>
                </w14:textFill>
              </w:rPr>
            </w:pPr>
            <w:r>
              <w:rPr>
                <w:rFonts w:hint="default" w:eastAsia="仿宋_GB2312" w:cs="Times New Roman"/>
                <w:b/>
                <w:bCs/>
                <w:color w:val="000000" w:themeColor="text1"/>
                <w:sz w:val="24"/>
                <w:szCs w:val="24"/>
                <w:highlight w:val="none"/>
                <w:lang w:val="en-US" w:eastAsia="zh-CN"/>
                <w14:textFill>
                  <w14:solidFill>
                    <w14:schemeClr w14:val="tx1"/>
                  </w14:solidFill>
                </w14:textFill>
              </w:rPr>
              <w:t>2639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86" w:type="dxa"/>
            <w:noWrap w:val="0"/>
            <w:vAlign w:val="center"/>
          </w:tcPr>
          <w:p>
            <w:pPr>
              <w:autoSpaceDE w:val="0"/>
              <w:autoSpaceDN w:val="0"/>
              <w:adjustRightInd w:val="0"/>
              <w:ind w:left="100"/>
              <w:jc w:val="both"/>
              <w:rPr>
                <w:rFonts w:hint="default" w:ascii="Times New Roman" w:hAnsi="Times New Roman" w:eastAsia="仿宋_GB2312" w:cs="Times New Roman"/>
                <w:color w:val="000000" w:themeColor="text1"/>
                <w:spacing w:val="1"/>
                <w:kern w:val="0"/>
                <w:position w:val="-2"/>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1"/>
                <w:kern w:val="0"/>
                <w:position w:val="-2"/>
                <w:sz w:val="24"/>
                <w:szCs w:val="24"/>
                <w:highlight w:val="none"/>
                <w14:textFill>
                  <w14:solidFill>
                    <w14:schemeClr w14:val="tx1"/>
                  </w14:solidFill>
                </w14:textFill>
              </w:rPr>
              <w:t>营业支出</w:t>
            </w:r>
          </w:p>
        </w:tc>
        <w:tc>
          <w:tcPr>
            <w:tcW w:w="5622" w:type="dxa"/>
            <w:noWrap w:val="0"/>
            <w:vAlign w:val="center"/>
          </w:tcPr>
          <w:p>
            <w:pPr>
              <w:widowControl/>
              <w:jc w:val="center"/>
              <w:textAlignment w:val="center"/>
              <w:rPr>
                <w:rFonts w:hint="default" w:ascii="Times New Roman" w:hAnsi="Times New Roman" w:eastAsia="仿宋_GB2312" w:cs="Times New Roman"/>
                <w:color w:val="000000" w:themeColor="text1"/>
                <w:sz w:val="24"/>
                <w:szCs w:val="24"/>
                <w:highlight w:val="none"/>
                <w:lang w:val="en-US"/>
                <w14:textFill>
                  <w14:solidFill>
                    <w14:schemeClr w14:val="tx1"/>
                  </w14:solidFill>
                </w14:textFill>
              </w:rPr>
            </w:pPr>
            <w:r>
              <w:rPr>
                <w:rFonts w:hint="default" w:eastAsia="仿宋_GB2312" w:cs="Times New Roman"/>
                <w:b/>
                <w:bCs/>
                <w:color w:val="000000" w:themeColor="text1"/>
                <w:sz w:val="24"/>
                <w:szCs w:val="24"/>
                <w:highlight w:val="none"/>
                <w:lang w:val="en-US" w:eastAsia="zh-CN"/>
                <w14:textFill>
                  <w14:solidFill>
                    <w14:schemeClr w14:val="tx1"/>
                  </w14:solidFill>
                </w14:textFill>
              </w:rPr>
              <w:t>4026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86" w:type="dxa"/>
            <w:noWrap w:val="0"/>
            <w:vAlign w:val="center"/>
          </w:tcPr>
          <w:p>
            <w:pPr>
              <w:autoSpaceDE w:val="0"/>
              <w:autoSpaceDN w:val="0"/>
              <w:adjustRightInd w:val="0"/>
              <w:ind w:left="100"/>
              <w:jc w:val="both"/>
              <w:rPr>
                <w:rFonts w:hint="default" w:ascii="Times New Roman" w:hAnsi="Times New Roman" w:eastAsia="仿宋_GB2312" w:cs="Times New Roman"/>
                <w:color w:val="000000" w:themeColor="text1"/>
                <w:spacing w:val="1"/>
                <w:kern w:val="0"/>
                <w:position w:val="-2"/>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1"/>
                <w:kern w:val="0"/>
                <w:position w:val="-2"/>
                <w:sz w:val="24"/>
                <w:szCs w:val="24"/>
                <w:highlight w:val="none"/>
                <w14:textFill>
                  <w14:solidFill>
                    <w14:schemeClr w14:val="tx1"/>
                  </w14:solidFill>
                </w14:textFill>
              </w:rPr>
              <w:t>营业利润</w:t>
            </w:r>
          </w:p>
        </w:tc>
        <w:tc>
          <w:tcPr>
            <w:tcW w:w="5622" w:type="dxa"/>
            <w:noWrap w:val="0"/>
            <w:vAlign w:val="center"/>
          </w:tcPr>
          <w:p>
            <w:pPr>
              <w:widowControl/>
              <w:jc w:val="center"/>
              <w:textAlignment w:val="center"/>
              <w:rPr>
                <w:rFonts w:hint="default" w:ascii="Times New Roman" w:hAnsi="Times New Roman" w:eastAsia="仿宋_GB2312" w:cs="Times New Roman"/>
                <w:color w:val="000000" w:themeColor="text1"/>
                <w:sz w:val="24"/>
                <w:szCs w:val="24"/>
                <w:highlight w:val="none"/>
                <w:lang w:val="en-US"/>
                <w14:textFill>
                  <w14:solidFill>
                    <w14:schemeClr w14:val="tx1"/>
                  </w14:solidFill>
                </w14:textFill>
              </w:rPr>
            </w:pPr>
            <w:r>
              <w:rPr>
                <w:rFonts w:hint="default" w:eastAsia="仿宋_GB2312" w:cs="Times New Roman"/>
                <w:b/>
                <w:bCs/>
                <w:color w:val="000000" w:themeColor="text1"/>
                <w:sz w:val="24"/>
                <w:szCs w:val="24"/>
                <w:highlight w:val="none"/>
                <w:lang w:val="en-US" w:eastAsia="zh-CN"/>
                <w14:textFill>
                  <w14:solidFill>
                    <w14:schemeClr w14:val="tx1"/>
                  </w14:solidFill>
                </w14:textFill>
              </w:rPr>
              <w:t>-1387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686" w:type="dxa"/>
            <w:noWrap w:val="0"/>
            <w:vAlign w:val="center"/>
          </w:tcPr>
          <w:p>
            <w:pPr>
              <w:autoSpaceDE w:val="0"/>
              <w:autoSpaceDN w:val="0"/>
              <w:adjustRightInd w:val="0"/>
              <w:ind w:left="10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1"/>
                <w:kern w:val="0"/>
                <w:position w:val="-2"/>
                <w:sz w:val="24"/>
                <w:szCs w:val="24"/>
                <w:highlight w:val="none"/>
                <w14:textFill>
                  <w14:solidFill>
                    <w14:schemeClr w14:val="tx1"/>
                  </w14:solidFill>
                </w14:textFill>
              </w:rPr>
              <w:t>利润总额</w:t>
            </w:r>
          </w:p>
        </w:tc>
        <w:tc>
          <w:tcPr>
            <w:tcW w:w="5622" w:type="dxa"/>
            <w:noWrap w:val="0"/>
            <w:vAlign w:val="center"/>
          </w:tcPr>
          <w:p>
            <w:pPr>
              <w:widowControl/>
              <w:jc w:val="center"/>
              <w:textAlignment w:val="center"/>
              <w:rPr>
                <w:rFonts w:hint="default" w:ascii="Times New Roman" w:hAnsi="Times New Roman" w:eastAsia="仿宋_GB2312" w:cs="Times New Roman"/>
                <w:color w:val="000000" w:themeColor="text1"/>
                <w:sz w:val="24"/>
                <w:szCs w:val="24"/>
                <w:highlight w:val="none"/>
                <w:lang w:val="en-US"/>
                <w14:textFill>
                  <w14:solidFill>
                    <w14:schemeClr w14:val="tx1"/>
                  </w14:solidFill>
                </w14:textFill>
              </w:rPr>
            </w:pPr>
            <w:r>
              <w:rPr>
                <w:rFonts w:hint="default" w:eastAsia="仿宋_GB2312" w:cs="Times New Roman"/>
                <w:b/>
                <w:bCs/>
                <w:color w:val="000000" w:themeColor="text1"/>
                <w:sz w:val="24"/>
                <w:szCs w:val="24"/>
                <w:highlight w:val="none"/>
                <w:lang w:val="en-US" w:eastAsia="zh-CN"/>
                <w14:textFill>
                  <w14:solidFill>
                    <w14:schemeClr w14:val="tx1"/>
                  </w14:solidFill>
                </w14:textFill>
              </w:rPr>
              <w:t>-1380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686" w:type="dxa"/>
            <w:noWrap w:val="0"/>
            <w:vAlign w:val="center"/>
          </w:tcPr>
          <w:p>
            <w:pPr>
              <w:autoSpaceDE w:val="0"/>
              <w:autoSpaceDN w:val="0"/>
              <w:adjustRightInd w:val="0"/>
              <w:ind w:left="10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14:textFill>
                  <w14:solidFill>
                    <w14:schemeClr w14:val="tx1"/>
                  </w14:solidFill>
                </w14:textFill>
              </w:rPr>
              <w:t>净利润</w:t>
            </w:r>
          </w:p>
        </w:tc>
        <w:tc>
          <w:tcPr>
            <w:tcW w:w="5622" w:type="dxa"/>
            <w:noWrap w:val="0"/>
            <w:vAlign w:val="center"/>
          </w:tcPr>
          <w:p>
            <w:pPr>
              <w:widowControl/>
              <w:jc w:val="center"/>
              <w:textAlignment w:val="cente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eastAsia="仿宋_GB2312" w:cs="Times New Roman"/>
                <w:b/>
                <w:bCs/>
                <w:color w:val="000000" w:themeColor="text1"/>
                <w:sz w:val="24"/>
                <w:szCs w:val="24"/>
                <w:highlight w:val="none"/>
                <w:lang w:val="en-US" w:eastAsia="zh-CN"/>
                <w14:textFill>
                  <w14:solidFill>
                    <w14:schemeClr w14:val="tx1"/>
                  </w14:solidFill>
                </w14:textFill>
              </w:rPr>
              <w:t>-1175</w:t>
            </w:r>
          </w:p>
        </w:tc>
      </w:tr>
    </w:tbl>
    <w:p>
      <w:pPr>
        <w:autoSpaceDE w:val="0"/>
        <w:autoSpaceDN w:val="0"/>
        <w:adjustRightInd w:val="0"/>
        <w:ind w:firstLine="602" w:firstLineChars="200"/>
        <w:jc w:val="both"/>
        <w:rPr>
          <w:rFonts w:hint="default" w:ascii="Times New Roman" w:hAnsi="Times New Roman" w:eastAsia="仿宋_GB2312" w:cs="Times New Roman"/>
          <w:b/>
          <w:color w:val="000000" w:themeColor="text1"/>
          <w:kern w:val="0"/>
          <w:sz w:val="30"/>
          <w:szCs w:val="30"/>
          <w:highlight w:val="none"/>
          <w14:textFill>
            <w14:solidFill>
              <w14:schemeClr w14:val="tx1"/>
            </w14:solidFill>
          </w14:textFill>
        </w:rPr>
      </w:pPr>
      <w:r>
        <w:rPr>
          <w:rFonts w:hint="default" w:ascii="Times New Roman" w:hAnsi="Times New Roman" w:eastAsia="仿宋_GB2312" w:cs="Times New Roman"/>
          <w:b/>
          <w:color w:val="000000" w:themeColor="text1"/>
          <w:kern w:val="0"/>
          <w:position w:val="-3"/>
          <w:sz w:val="30"/>
          <w:szCs w:val="30"/>
          <w:highlight w:val="none"/>
          <w14:textFill>
            <w14:solidFill>
              <w14:schemeClr w14:val="tx1"/>
            </w14:solidFill>
          </w14:textFill>
        </w:rPr>
        <w:t>3.2 主要财务指标</w:t>
      </w:r>
    </w:p>
    <w:tbl>
      <w:tblPr>
        <w:tblStyle w:val="4"/>
        <w:tblW w:w="8341" w:type="dxa"/>
        <w:jc w:val="center"/>
        <w:tblLayout w:type="fixed"/>
        <w:tblCellMar>
          <w:top w:w="0" w:type="dxa"/>
          <w:left w:w="0" w:type="dxa"/>
          <w:bottom w:w="0" w:type="dxa"/>
          <w:right w:w="0" w:type="dxa"/>
        </w:tblCellMar>
      </w:tblPr>
      <w:tblGrid>
        <w:gridCol w:w="4365"/>
        <w:gridCol w:w="3976"/>
      </w:tblGrid>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both"/>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主要财务指标</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202</w:t>
            </w:r>
            <w:r>
              <w:rPr>
                <w:rFonts w:hint="eastAsia" w:eastAsia="仿宋_GB2312" w:cs="Times New Roman"/>
                <w:b/>
                <w:color w:val="000000" w:themeColor="text1"/>
                <w:kern w:val="0"/>
                <w:sz w:val="24"/>
                <w:szCs w:val="24"/>
                <w:highlight w:val="none"/>
                <w:lang w:val="en-US" w:eastAsia="zh-CN"/>
                <w14:textFill>
                  <w14:solidFill>
                    <w14:schemeClr w14:val="tx1"/>
                  </w14:solidFill>
                </w14:textFill>
              </w:rPr>
              <w:t>5</w:t>
            </w: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年</w:t>
            </w:r>
          </w:p>
        </w:tc>
      </w:tr>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firstLine="120" w:firstLineChars="5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14:textFill>
                  <w14:solidFill>
                    <w14:schemeClr w14:val="tx1"/>
                  </w14:solidFill>
                </w14:textFill>
              </w:rPr>
              <w:t>基本每股收益（元／股）</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240" w:lineRule="auto"/>
              <w:jc w:val="center"/>
              <w:textAlignment w:val="center"/>
              <w:rPr>
                <w:rFonts w:hint="default"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highlight w:val="none"/>
                <w:lang w:val="en-US" w:eastAsia="zh-CN" w:bidi="ar"/>
                <w14:textFill>
                  <w14:solidFill>
                    <w14:schemeClr w14:val="tx1"/>
                  </w14:solidFill>
                </w14:textFill>
              </w:rPr>
              <w:t>-0.</w:t>
            </w:r>
            <w:r>
              <w:rPr>
                <w:rFonts w:hint="default" w:eastAsia="仿宋_GB2312" w:cs="Times New Roman"/>
                <w:b/>
                <w:bCs/>
                <w:color w:val="000000" w:themeColor="text1"/>
                <w:sz w:val="24"/>
                <w:szCs w:val="24"/>
                <w:highlight w:val="none"/>
                <w:lang w:val="en-US" w:eastAsia="zh-CN" w:bidi="ar"/>
                <w14:textFill>
                  <w14:solidFill>
                    <w14:schemeClr w14:val="tx1"/>
                  </w14:solidFill>
                </w14:textFill>
              </w:rPr>
              <w:t>12</w:t>
            </w:r>
          </w:p>
        </w:tc>
      </w:tr>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100"/>
              <w:jc w:val="both"/>
              <w:rPr>
                <w:rFonts w:hint="default" w:ascii="Times New Roman" w:hAnsi="Times New Roman" w:eastAsia="仿宋_GB2312" w:cs="Times New Roman"/>
                <w:color w:val="000000" w:themeColor="text1"/>
                <w:kern w:val="0"/>
                <w:position w:val="-2"/>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14:textFill>
                  <w14:solidFill>
                    <w14:schemeClr w14:val="tx1"/>
                  </w14:solidFill>
                </w14:textFill>
              </w:rPr>
              <w:t>每股净资产（元／股）</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240" w:lineRule="auto"/>
              <w:jc w:val="center"/>
              <w:textAlignment w:val="center"/>
              <w:rPr>
                <w:rFonts w:hint="default"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t>1.</w:t>
            </w:r>
            <w:r>
              <w:rPr>
                <w:rFonts w:hint="default" w:eastAsia="仿宋_GB2312" w:cs="Times New Roman"/>
                <w:b/>
                <w:bCs/>
                <w:color w:val="000000" w:themeColor="text1"/>
                <w:sz w:val="24"/>
                <w:szCs w:val="24"/>
                <w:highlight w:val="none"/>
                <w:lang w:val="en-US" w:eastAsia="zh-CN"/>
                <w14:textFill>
                  <w14:solidFill>
                    <w14:schemeClr w14:val="tx1"/>
                  </w14:solidFill>
                </w14:textFill>
              </w:rPr>
              <w:t>22</w:t>
            </w:r>
          </w:p>
        </w:tc>
      </w:tr>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both"/>
              <w:rPr>
                <w:rFonts w:hint="default" w:ascii="Times New Roman" w:hAnsi="Times New Roman" w:eastAsia="仿宋_GB2312" w:cs="Times New Roman"/>
                <w:color w:val="000000" w:themeColor="text1"/>
                <w:kern w:val="0"/>
                <w:position w:val="-2"/>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lang w:eastAsia="zh-CN"/>
                <w14:textFill>
                  <w14:solidFill>
                    <w14:schemeClr w14:val="tx1"/>
                  </w14:solidFill>
                </w14:textFill>
              </w:rPr>
              <w:t>净</w:t>
            </w:r>
            <w:r>
              <w:rPr>
                <w:rFonts w:hint="default" w:ascii="Times New Roman" w:hAnsi="Times New Roman" w:eastAsia="仿宋_GB2312" w:cs="Times New Roman"/>
                <w:color w:val="000000" w:themeColor="text1"/>
                <w:kern w:val="0"/>
                <w:position w:val="-2"/>
                <w:sz w:val="24"/>
                <w:szCs w:val="24"/>
                <w:highlight w:val="none"/>
                <w14:textFill>
                  <w14:solidFill>
                    <w14:schemeClr w14:val="tx1"/>
                  </w14:solidFill>
                </w14:textFill>
              </w:rPr>
              <w:t>资产收益率</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widowControl/>
              <w:jc w:val="center"/>
              <w:textAlignment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sz w:val="24"/>
                <w:szCs w:val="24"/>
                <w:highlight w:val="none"/>
                <w:lang w:val="en-US" w:eastAsia="zh-CN" w:bidi="ar"/>
                <w14:textFill>
                  <w14:solidFill>
                    <w14:schemeClr w14:val="tx1"/>
                  </w14:solidFill>
                </w14:textFill>
              </w:rPr>
              <w:t>-</w:t>
            </w:r>
            <w:r>
              <w:rPr>
                <w:rFonts w:hint="default" w:eastAsia="仿宋_GB2312" w:cs="Times New Roman"/>
                <w:b/>
                <w:bCs/>
                <w:color w:val="000000" w:themeColor="text1"/>
                <w:sz w:val="24"/>
                <w:szCs w:val="24"/>
                <w:highlight w:val="none"/>
                <w:lang w:val="en-US" w:eastAsia="zh-CN" w:bidi="ar"/>
                <w14:textFill>
                  <w14:solidFill>
                    <w14:schemeClr w14:val="tx1"/>
                  </w14:solidFill>
                </w14:textFill>
              </w:rPr>
              <w:t>9.18</w:t>
            </w:r>
            <w:r>
              <w:rPr>
                <w:rFonts w:hint="default" w:ascii="Times New Roman" w:hAnsi="Times New Roman" w:eastAsia="仿宋_GB2312" w:cs="Times New Roman"/>
                <w:b/>
                <w:bCs/>
                <w:color w:val="000000" w:themeColor="text1"/>
                <w:sz w:val="24"/>
                <w:szCs w:val="24"/>
                <w:highlight w:val="none"/>
                <w:lang w:val="en-US" w:eastAsia="zh-CN" w:bidi="ar"/>
                <w14:textFill>
                  <w14:solidFill>
                    <w14:schemeClr w14:val="tx1"/>
                  </w14:solidFill>
                </w14:textFill>
              </w:rPr>
              <w:t>%</w:t>
            </w:r>
          </w:p>
        </w:tc>
      </w:tr>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jc w:val="both"/>
              <w:rPr>
                <w:rFonts w:hint="default" w:ascii="Times New Roman" w:hAnsi="Times New Roman" w:eastAsia="仿宋_GB2312" w:cs="Times New Roman"/>
                <w:color w:val="000000" w:themeColor="text1"/>
                <w:kern w:val="0"/>
                <w:position w:val="-2"/>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14:textFill>
                  <w14:solidFill>
                    <w14:schemeClr w14:val="tx1"/>
                  </w14:solidFill>
                </w14:textFill>
              </w:rPr>
              <w:t>成本收入比</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widowControl/>
              <w:spacing w:line="240" w:lineRule="auto"/>
              <w:jc w:val="center"/>
              <w:textAlignment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Fonts w:hint="eastAsia" w:eastAsia="仿宋_GB2312" w:cs="Times New Roman"/>
                <w:b/>
                <w:bCs/>
                <w:color w:val="000000" w:themeColor="text1"/>
                <w:sz w:val="24"/>
                <w:szCs w:val="24"/>
                <w:highlight w:val="none"/>
                <w:lang w:val="en-US" w:eastAsia="zh-CN"/>
                <w14:textFill>
                  <w14:solidFill>
                    <w14:schemeClr w14:val="tx1"/>
                  </w14:solidFill>
                </w14:textFill>
              </w:rPr>
              <w:t>87.89</w:t>
            </w:r>
            <w:r>
              <w:rPr>
                <w:rFonts w:hint="default"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t>%</w:t>
            </w:r>
          </w:p>
        </w:tc>
      </w:tr>
      <w:tr>
        <w:tblPrEx>
          <w:tblCellMar>
            <w:top w:w="0" w:type="dxa"/>
            <w:left w:w="0" w:type="dxa"/>
            <w:bottom w:w="0" w:type="dxa"/>
            <w:right w:w="0" w:type="dxa"/>
          </w:tblCellMar>
        </w:tblPrEx>
        <w:trPr>
          <w:trHeight w:val="346" w:hRule="atLeast"/>
          <w:jc w:val="center"/>
        </w:trPr>
        <w:tc>
          <w:tcPr>
            <w:tcW w:w="436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ind w:left="0"/>
              <w:jc w:val="both"/>
              <w:rPr>
                <w:rFonts w:hint="default" w:ascii="Times New Roman" w:hAnsi="Times New Roman" w:eastAsia="仿宋_GB2312" w:cs="Times New Roman"/>
                <w:color w:val="000000" w:themeColor="text1"/>
                <w:kern w:val="0"/>
                <w:position w:val="-2"/>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t>净息差</w:t>
            </w:r>
          </w:p>
        </w:tc>
        <w:tc>
          <w:tcPr>
            <w:tcW w:w="3976"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bCs/>
                <w:i w:val="0"/>
                <w:color w:val="000000" w:themeColor="text1"/>
                <w:kern w:val="2"/>
                <w:sz w:val="24"/>
                <w:szCs w:val="24"/>
                <w:highlight w:val="none"/>
                <w:u w:val="none"/>
                <w:lang w:val="en-US" w:eastAsia="zh-CN" w:bidi="ar"/>
                <w14:textFill>
                  <w14:solidFill>
                    <w14:schemeClr w14:val="tx1"/>
                  </w14:solidFill>
                </w14:textFill>
              </w:rPr>
              <w:t>2.6</w:t>
            </w:r>
            <w:r>
              <w:rPr>
                <w:rFonts w:hint="eastAsia" w:eastAsia="仿宋_GB2312" w:cs="Times New Roman"/>
                <w:b/>
                <w:bCs/>
                <w:i w:val="0"/>
                <w:color w:val="000000" w:themeColor="text1"/>
                <w:kern w:val="2"/>
                <w:sz w:val="24"/>
                <w:szCs w:val="24"/>
                <w:highlight w:val="none"/>
                <w:u w:val="none"/>
                <w:lang w:val="en-US" w:eastAsia="zh-CN" w:bidi="ar"/>
                <w14:textFill>
                  <w14:solidFill>
                    <w14:schemeClr w14:val="tx1"/>
                  </w14:solidFill>
                </w14:textFill>
              </w:rPr>
              <w:t>1</w:t>
            </w:r>
            <w:r>
              <w:rPr>
                <w:rFonts w:hint="default" w:ascii="Times New Roman" w:hAnsi="Times New Roman" w:eastAsia="仿宋_GB2312" w:cs="Times New Roman"/>
                <w:b/>
                <w:bCs/>
                <w:i w:val="0"/>
                <w:color w:val="000000" w:themeColor="text1"/>
                <w:kern w:val="2"/>
                <w:sz w:val="24"/>
                <w:szCs w:val="24"/>
                <w:highlight w:val="none"/>
                <w:u w:val="none"/>
                <w:lang w:val="en-US" w:eastAsia="zh-CN" w:bidi="ar"/>
                <w14:textFill>
                  <w14:solidFill>
                    <w14:schemeClr w14:val="tx1"/>
                  </w14:solidFill>
                </w14:textFill>
              </w:rPr>
              <w:t>%</w:t>
            </w:r>
          </w:p>
        </w:tc>
      </w:tr>
    </w:tbl>
    <w:p>
      <w:pPr>
        <w:autoSpaceDE w:val="0"/>
        <w:autoSpaceDN w:val="0"/>
        <w:adjustRightInd w:val="0"/>
        <w:ind w:firstLine="602" w:firstLineChars="200"/>
        <w:jc w:val="both"/>
        <w:rPr>
          <w:rFonts w:hint="default" w:ascii="Times New Roman" w:hAnsi="Times New Roman" w:eastAsia="仿宋_GB2312" w:cs="Times New Roman"/>
          <w:b/>
          <w:color w:val="000000" w:themeColor="text1"/>
          <w:kern w:val="0"/>
          <w:position w:val="-3"/>
          <w:sz w:val="30"/>
          <w:szCs w:val="30"/>
          <w:highlight w:val="none"/>
          <w14:textFill>
            <w14:solidFill>
              <w14:schemeClr w14:val="tx1"/>
            </w14:solidFill>
          </w14:textFill>
        </w:rPr>
      </w:pPr>
      <w:r>
        <w:rPr>
          <w:rFonts w:hint="default" w:ascii="Times New Roman" w:hAnsi="Times New Roman" w:eastAsia="仿宋_GB2312" w:cs="Times New Roman"/>
          <w:b/>
          <w:color w:val="000000" w:themeColor="text1"/>
          <w:kern w:val="0"/>
          <w:position w:val="-3"/>
          <w:sz w:val="30"/>
          <w:szCs w:val="30"/>
          <w:highlight w:val="none"/>
          <w14:textFill>
            <w14:solidFill>
              <w14:schemeClr w14:val="tx1"/>
            </w14:solidFill>
          </w14:textFill>
        </w:rPr>
        <w:t>4</w:t>
      </w:r>
      <w:r>
        <w:rPr>
          <w:rFonts w:hint="default" w:ascii="Times New Roman" w:hAnsi="Times New Roman" w:eastAsia="仿宋_GB2312" w:cs="Times New Roman"/>
          <w:b/>
          <w:color w:val="000000" w:themeColor="text1"/>
          <w:kern w:val="0"/>
          <w:position w:val="-3"/>
          <w:sz w:val="30"/>
          <w:szCs w:val="30"/>
          <w:highlight w:val="none"/>
          <w:lang w:eastAsia="zh-CN"/>
          <w14:textFill>
            <w14:solidFill>
              <w14:schemeClr w14:val="tx1"/>
            </w14:solidFill>
          </w14:textFill>
        </w:rPr>
        <w:t>、</w:t>
      </w:r>
      <w:r>
        <w:rPr>
          <w:rFonts w:hint="default" w:ascii="Times New Roman" w:hAnsi="Times New Roman" w:eastAsia="仿宋_GB2312" w:cs="Times New Roman"/>
          <w:b/>
          <w:color w:val="000000" w:themeColor="text1"/>
          <w:kern w:val="0"/>
          <w:position w:val="-3"/>
          <w:sz w:val="30"/>
          <w:szCs w:val="30"/>
          <w:highlight w:val="none"/>
          <w14:textFill>
            <w14:solidFill>
              <w14:schemeClr w14:val="tx1"/>
            </w14:solidFill>
          </w14:textFill>
        </w:rPr>
        <w:t>银行业务信息与数据</w:t>
      </w:r>
    </w:p>
    <w:p>
      <w:pPr>
        <w:autoSpaceDE w:val="0"/>
        <w:autoSpaceDN w:val="0"/>
        <w:adjustRightInd w:val="0"/>
        <w:ind w:firstLine="602" w:firstLineChars="200"/>
        <w:jc w:val="both"/>
        <w:rPr>
          <w:rFonts w:hint="default" w:ascii="Times New Roman" w:hAnsi="Times New Roman" w:eastAsia="仿宋_GB2312" w:cs="Times New Roman"/>
          <w:b/>
          <w:color w:val="000000" w:themeColor="text1"/>
          <w:kern w:val="0"/>
          <w:position w:val="-3"/>
          <w:sz w:val="30"/>
          <w:szCs w:val="30"/>
          <w:highlight w:val="none"/>
          <w14:textFill>
            <w14:solidFill>
              <w14:schemeClr w14:val="tx1"/>
            </w14:solidFill>
          </w14:textFill>
        </w:rPr>
      </w:pPr>
      <w:r>
        <w:rPr>
          <w:rFonts w:hint="default" w:ascii="Times New Roman" w:hAnsi="Times New Roman" w:eastAsia="仿宋_GB2312" w:cs="Times New Roman"/>
          <w:b/>
          <w:color w:val="000000" w:themeColor="text1"/>
          <w:kern w:val="0"/>
          <w:position w:val="-3"/>
          <w:sz w:val="30"/>
          <w:szCs w:val="30"/>
          <w:highlight w:val="none"/>
          <w14:textFill>
            <w14:solidFill>
              <w14:schemeClr w14:val="tx1"/>
            </w14:solidFill>
          </w14:textFill>
        </w:rPr>
        <w:t>4.1 公司前二年主要财务会计数据</w:t>
      </w:r>
    </w:p>
    <w:p>
      <w:pPr>
        <w:autoSpaceDE w:val="0"/>
        <w:autoSpaceDN w:val="0"/>
        <w:adjustRightInd w:val="0"/>
        <w:ind w:left="122" w:leftChars="58" w:firstLine="413" w:firstLineChars="196"/>
        <w:jc w:val="both"/>
        <w:rPr>
          <w:rFonts w:hint="default" w:ascii="Times New Roman" w:hAnsi="Times New Roman" w:cs="Times New Roman"/>
          <w:b/>
          <w:color w:val="000000" w:themeColor="text1"/>
          <w:kern w:val="0"/>
          <w:sz w:val="18"/>
          <w:szCs w:val="18"/>
          <w:highlight w:val="none"/>
          <w14:textFill>
            <w14:solidFill>
              <w14:schemeClr w14:val="tx1"/>
            </w14:solidFill>
          </w14:textFill>
        </w:rPr>
      </w:pPr>
      <w:r>
        <w:rPr>
          <w:rFonts w:hint="default" w:ascii="Times New Roman" w:hAnsi="Times New Roman" w:cs="Times New Roman"/>
          <w:b/>
          <w:color w:val="000000" w:themeColor="text1"/>
          <w:kern w:val="0"/>
          <w:szCs w:val="21"/>
          <w:highlight w:val="none"/>
          <w14:textFill>
            <w14:solidFill>
              <w14:schemeClr w14:val="tx1"/>
            </w14:solidFill>
          </w14:textFill>
        </w:rPr>
        <w:t xml:space="preserve">                                                       </w:t>
      </w:r>
      <w:r>
        <w:rPr>
          <w:rFonts w:hint="default" w:ascii="Times New Roman" w:hAnsi="Times New Roman" w:cs="Times New Roman"/>
          <w:color w:val="000000" w:themeColor="text1"/>
          <w:szCs w:val="21"/>
          <w:highlight w:val="none"/>
          <w14:textFill>
            <w14:solidFill>
              <w14:schemeClr w14:val="tx1"/>
            </w14:solidFill>
          </w14:textFill>
        </w:rPr>
        <w:t>单位：人民币万元</w:t>
      </w:r>
      <w:r>
        <w:rPr>
          <w:rFonts w:hint="default" w:ascii="Times New Roman" w:hAnsi="Times New Roman" w:cs="Times New Roman"/>
          <w:color w:val="000000" w:themeColor="text1"/>
          <w:kern w:val="0"/>
          <w:position w:val="-2"/>
          <w:szCs w:val="21"/>
          <w:highlight w:val="none"/>
          <w14:textFill>
            <w14:solidFill>
              <w14:schemeClr w14:val="tx1"/>
            </w14:solidFill>
          </w14:textFill>
        </w:rPr>
        <w:t xml:space="preserve"> </w:t>
      </w:r>
      <w:r>
        <w:rPr>
          <w:rFonts w:hint="default" w:ascii="Times New Roman" w:hAnsi="Times New Roman" w:cs="Times New Roman"/>
          <w:color w:val="000000" w:themeColor="text1"/>
          <w:kern w:val="0"/>
          <w:position w:val="-2"/>
          <w:sz w:val="18"/>
          <w:szCs w:val="18"/>
          <w:highlight w:val="none"/>
          <w14:textFill>
            <w14:solidFill>
              <w14:schemeClr w14:val="tx1"/>
            </w14:solidFill>
          </w14:textFill>
        </w:rPr>
        <w:t xml:space="preserve">                                                                                                                             </w:t>
      </w:r>
    </w:p>
    <w:tbl>
      <w:tblPr>
        <w:tblStyle w:val="4"/>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2783"/>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39" w:type="dxa"/>
            <w:noWrap w:val="0"/>
            <w:vAlign w:val="center"/>
          </w:tcPr>
          <w:p>
            <w:pPr>
              <w:autoSpaceDE w:val="0"/>
              <w:autoSpaceDN w:val="0"/>
              <w:adjustRightInd w:val="0"/>
              <w:ind w:left="0"/>
              <w:jc w:val="both"/>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t>项   目</w:t>
            </w:r>
          </w:p>
        </w:tc>
        <w:tc>
          <w:tcPr>
            <w:tcW w:w="2783" w:type="dxa"/>
            <w:noWrap w:val="0"/>
            <w:vAlign w:val="center"/>
          </w:tcPr>
          <w:p>
            <w:pPr>
              <w:autoSpaceDE w:val="0"/>
              <w:autoSpaceDN w:val="0"/>
              <w:adjustRightInd w:val="0"/>
              <w:ind w:left="0" w:leftChars="0"/>
              <w:jc w:val="both"/>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t>2024年</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t>202</w:t>
            </w:r>
            <w:r>
              <w:rPr>
                <w:rFonts w:hint="eastAsia" w:eastAsia="仿宋_GB2312" w:cs="Times New Roman"/>
                <w:color w:val="000000" w:themeColor="text1"/>
                <w:kern w:val="0"/>
                <w:position w:val="-2"/>
                <w:sz w:val="24"/>
                <w:szCs w:val="24"/>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39" w:type="dxa"/>
            <w:noWrap w:val="0"/>
            <w:vAlign w:val="center"/>
          </w:tcPr>
          <w:p>
            <w:pPr>
              <w:autoSpaceDE w:val="0"/>
              <w:autoSpaceDN w:val="0"/>
              <w:adjustRightInd w:val="0"/>
              <w:ind w:left="0"/>
              <w:jc w:val="both"/>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t>资产总额</w:t>
            </w:r>
          </w:p>
        </w:tc>
        <w:tc>
          <w:tcPr>
            <w:tcW w:w="2783" w:type="dxa"/>
            <w:noWrap w:val="0"/>
            <w:vAlign w:val="center"/>
          </w:tcPr>
          <w:p>
            <w:pPr>
              <w:autoSpaceDE w:val="0"/>
              <w:autoSpaceDN w:val="0"/>
              <w:adjustRightInd w:val="0"/>
              <w:ind w:left="0" w:leftChars="0"/>
              <w:jc w:val="both"/>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t>96436</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eastAsia" w:eastAsia="仿宋_GB2312" w:cs="Times New Roman"/>
                <w:color w:val="000000" w:themeColor="text1"/>
                <w:kern w:val="0"/>
                <w:position w:val="-2"/>
                <w:sz w:val="24"/>
                <w:szCs w:val="24"/>
                <w:highlight w:val="none"/>
                <w:lang w:val="en-US" w:eastAsia="zh-CN"/>
                <w14:textFill>
                  <w14:solidFill>
                    <w14:schemeClr w14:val="tx1"/>
                  </w14:solidFill>
                </w14:textFill>
              </w:rPr>
              <w:t>111582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39" w:type="dxa"/>
            <w:noWrap w:val="0"/>
            <w:vAlign w:val="center"/>
          </w:tcPr>
          <w:p>
            <w:pPr>
              <w:autoSpaceDE w:val="0"/>
              <w:autoSpaceDN w:val="0"/>
              <w:adjustRightInd w:val="0"/>
              <w:ind w:left="0"/>
              <w:jc w:val="both"/>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t>负债总额</w:t>
            </w:r>
          </w:p>
        </w:tc>
        <w:tc>
          <w:tcPr>
            <w:tcW w:w="2783" w:type="dxa"/>
            <w:noWrap w:val="0"/>
            <w:vAlign w:val="center"/>
          </w:tcPr>
          <w:p>
            <w:pPr>
              <w:autoSpaceDE w:val="0"/>
              <w:autoSpaceDN w:val="0"/>
              <w:adjustRightInd w:val="0"/>
              <w:ind w:left="0" w:leftChars="0"/>
              <w:jc w:val="both"/>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t>83055</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eastAsia" w:eastAsia="仿宋_GB2312" w:cs="Times New Roman"/>
                <w:color w:val="000000" w:themeColor="text1"/>
                <w:kern w:val="0"/>
                <w:position w:val="-2"/>
                <w:sz w:val="24"/>
                <w:szCs w:val="24"/>
                <w:highlight w:val="none"/>
                <w:lang w:val="en-US" w:eastAsia="zh-CN"/>
                <w14:textFill>
                  <w14:solidFill>
                    <w14:schemeClr w14:val="tx1"/>
                  </w14:solidFill>
                </w14:textFill>
              </w:rPr>
              <w:t>99376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39" w:type="dxa"/>
            <w:noWrap w:val="0"/>
            <w:vAlign w:val="center"/>
          </w:tcPr>
          <w:p>
            <w:pPr>
              <w:autoSpaceDE w:val="0"/>
              <w:autoSpaceDN w:val="0"/>
              <w:adjustRightInd w:val="0"/>
              <w:ind w:left="0"/>
              <w:jc w:val="both"/>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t>股东权益合计</w:t>
            </w:r>
          </w:p>
        </w:tc>
        <w:tc>
          <w:tcPr>
            <w:tcW w:w="2783" w:type="dxa"/>
            <w:noWrap w:val="0"/>
            <w:vAlign w:val="center"/>
          </w:tcPr>
          <w:p>
            <w:pPr>
              <w:autoSpaceDE w:val="0"/>
              <w:autoSpaceDN w:val="0"/>
              <w:adjustRightInd w:val="0"/>
              <w:ind w:left="0" w:leftChars="0"/>
              <w:jc w:val="both"/>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t>13381</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eastAsia" w:eastAsia="仿宋_GB2312" w:cs="Times New Roman"/>
                <w:color w:val="000000" w:themeColor="text1"/>
                <w:kern w:val="0"/>
                <w:position w:val="-2"/>
                <w:sz w:val="24"/>
                <w:szCs w:val="24"/>
                <w:highlight w:val="none"/>
                <w:lang w:val="en-US" w:eastAsia="zh-CN"/>
                <w14:textFill>
                  <w14:solidFill>
                    <w14:schemeClr w14:val="tx1"/>
                  </w14:solidFill>
                </w14:textFill>
              </w:rPr>
              <w:t>12206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639" w:type="dxa"/>
            <w:noWrap w:val="0"/>
            <w:vAlign w:val="center"/>
          </w:tcPr>
          <w:p>
            <w:pPr>
              <w:autoSpaceDE w:val="0"/>
              <w:autoSpaceDN w:val="0"/>
              <w:adjustRightInd w:val="0"/>
              <w:ind w:left="0"/>
              <w:jc w:val="both"/>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t>存款总额</w:t>
            </w:r>
          </w:p>
        </w:tc>
        <w:tc>
          <w:tcPr>
            <w:tcW w:w="2783" w:type="dxa"/>
            <w:noWrap w:val="0"/>
            <w:vAlign w:val="center"/>
          </w:tcPr>
          <w:p>
            <w:pPr>
              <w:autoSpaceDE w:val="0"/>
              <w:autoSpaceDN w:val="0"/>
              <w:adjustRightInd w:val="0"/>
              <w:ind w:left="0" w:leftChars="0"/>
              <w:jc w:val="both"/>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t>80460</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eastAsia" w:eastAsia="仿宋_GB2312" w:cs="Times New Roman"/>
                <w:color w:val="000000" w:themeColor="text1"/>
                <w:kern w:val="0"/>
                <w:position w:val="-2"/>
                <w:sz w:val="24"/>
                <w:szCs w:val="24"/>
                <w:highlight w:val="none"/>
                <w:lang w:val="en-US" w:eastAsia="zh-CN"/>
                <w14:textFill>
                  <w14:solidFill>
                    <w14:schemeClr w14:val="tx1"/>
                  </w14:solidFill>
                </w14:textFill>
              </w:rPr>
              <w:t>95559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39" w:type="dxa"/>
            <w:noWrap w:val="0"/>
            <w:vAlign w:val="center"/>
          </w:tcPr>
          <w:p>
            <w:pPr>
              <w:autoSpaceDE w:val="0"/>
              <w:autoSpaceDN w:val="0"/>
              <w:adjustRightInd w:val="0"/>
              <w:ind w:left="0"/>
              <w:jc w:val="both"/>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t>贷款总额</w:t>
            </w:r>
          </w:p>
        </w:tc>
        <w:tc>
          <w:tcPr>
            <w:tcW w:w="2783" w:type="dxa"/>
            <w:noWrap w:val="0"/>
            <w:vAlign w:val="center"/>
          </w:tcPr>
          <w:p>
            <w:pPr>
              <w:autoSpaceDE w:val="0"/>
              <w:autoSpaceDN w:val="0"/>
              <w:adjustRightInd w:val="0"/>
              <w:ind w:left="0" w:leftChars="0"/>
              <w:jc w:val="both"/>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t>60444</w:t>
            </w:r>
          </w:p>
        </w:tc>
        <w:tc>
          <w:tcPr>
            <w:tcW w:w="2911" w:type="dxa"/>
            <w:noWrap w:val="0"/>
            <w:vAlign w:val="center"/>
          </w:tcPr>
          <w:p>
            <w:pPr>
              <w:autoSpaceDE w:val="0"/>
              <w:autoSpaceDN w:val="0"/>
              <w:adjustRightInd w:val="0"/>
              <w:ind w:left="0" w:leftChars="0"/>
              <w:jc w:val="center"/>
              <w:rPr>
                <w:rFonts w:hint="default" w:ascii="Times New Roman" w:hAnsi="Times New Roman" w:eastAsia="仿宋_GB2312" w:cs="Times New Roman"/>
                <w:color w:val="000000" w:themeColor="text1"/>
                <w:kern w:val="0"/>
                <w:position w:val="-2"/>
                <w:sz w:val="24"/>
                <w:szCs w:val="24"/>
                <w:highlight w:val="none"/>
                <w:lang w:val="en-US" w:eastAsia="zh-CN"/>
                <w14:textFill>
                  <w14:solidFill>
                    <w14:schemeClr w14:val="tx1"/>
                  </w14:solidFill>
                </w14:textFill>
              </w:rPr>
            </w:pPr>
            <w:r>
              <w:rPr>
                <w:rFonts w:hint="eastAsia" w:eastAsia="仿宋_GB2312" w:cs="Times New Roman"/>
                <w:color w:val="000000" w:themeColor="text1"/>
                <w:kern w:val="0"/>
                <w:position w:val="-2"/>
                <w:sz w:val="24"/>
                <w:szCs w:val="24"/>
                <w:highlight w:val="none"/>
                <w:lang w:val="en-US" w:eastAsia="zh-CN"/>
                <w14:textFill>
                  <w14:solidFill>
                    <w14:schemeClr w14:val="tx1"/>
                  </w14:solidFill>
                </w14:textFill>
              </w:rPr>
              <w:t>65410</w:t>
            </w:r>
          </w:p>
        </w:tc>
      </w:tr>
    </w:tbl>
    <w:p>
      <w:pPr>
        <w:autoSpaceDE w:val="0"/>
        <w:autoSpaceDN w:val="0"/>
        <w:adjustRightInd w:val="0"/>
        <w:ind w:firstLine="413" w:firstLineChars="196"/>
        <w:jc w:val="both"/>
        <w:rPr>
          <w:rFonts w:hint="default" w:ascii="Times New Roman" w:hAnsi="Times New Roman" w:cs="Times New Roman"/>
          <w:b/>
          <w:color w:val="000000" w:themeColor="text1"/>
          <w:kern w:val="0"/>
          <w:szCs w:val="21"/>
          <w:highlight w:val="none"/>
          <w14:textFill>
            <w14:solidFill>
              <w14:schemeClr w14:val="tx1"/>
            </w14:solidFill>
          </w14:textFill>
        </w:rPr>
      </w:pPr>
    </w:p>
    <w:p>
      <w:pPr>
        <w:autoSpaceDE w:val="0"/>
        <w:autoSpaceDN w:val="0"/>
        <w:adjustRightInd w:val="0"/>
        <w:ind w:firstLine="590" w:firstLineChars="196"/>
        <w:jc w:val="both"/>
        <w:rPr>
          <w:rFonts w:hint="default" w:ascii="Times New Roman" w:hAnsi="Times New Roman" w:eastAsia="仿宋_GB2312" w:cs="Times New Roman"/>
          <w:b/>
          <w:color w:val="000000" w:themeColor="text1"/>
          <w:kern w:val="0"/>
          <w:sz w:val="30"/>
          <w:szCs w:val="30"/>
          <w:highlight w:val="none"/>
          <w14:textFill>
            <w14:solidFill>
              <w14:schemeClr w14:val="tx1"/>
            </w14:solidFill>
          </w14:textFill>
        </w:rPr>
      </w:pPr>
      <w:r>
        <w:rPr>
          <w:rFonts w:hint="default" w:ascii="Times New Roman" w:hAnsi="Times New Roman" w:eastAsia="仿宋_GB2312" w:cs="Times New Roman"/>
          <w:b/>
          <w:color w:val="000000" w:themeColor="text1"/>
          <w:kern w:val="0"/>
          <w:sz w:val="30"/>
          <w:szCs w:val="30"/>
          <w:highlight w:val="none"/>
          <w14:textFill>
            <w14:solidFill>
              <w14:schemeClr w14:val="tx1"/>
            </w14:solidFill>
          </w14:textFill>
        </w:rPr>
        <w:t>4.2 公司前二年资本充足率数据</w:t>
      </w:r>
    </w:p>
    <w:p>
      <w:pPr>
        <w:autoSpaceDE w:val="0"/>
        <w:autoSpaceDN w:val="0"/>
        <w:adjustRightInd w:val="0"/>
        <w:ind w:firstLine="422" w:firstLineChars="200"/>
        <w:jc w:val="both"/>
        <w:rPr>
          <w:rFonts w:hint="default" w:ascii="Times New Roman" w:hAnsi="Times New Roman" w:cs="Times New Roman"/>
          <w:b/>
          <w:color w:val="000000" w:themeColor="text1"/>
          <w:kern w:val="0"/>
          <w:position w:val="-3"/>
          <w:sz w:val="18"/>
          <w:szCs w:val="18"/>
          <w:highlight w:val="none"/>
          <w14:textFill>
            <w14:solidFill>
              <w14:schemeClr w14:val="tx1"/>
            </w14:solidFill>
          </w14:textFill>
        </w:rPr>
      </w:pPr>
      <w:r>
        <w:rPr>
          <w:rFonts w:hint="default" w:ascii="Times New Roman" w:hAnsi="Times New Roman" w:cs="Times New Roman"/>
          <w:b/>
          <w:color w:val="000000" w:themeColor="text1"/>
          <w:kern w:val="0"/>
          <w:szCs w:val="21"/>
          <w:highlight w:val="none"/>
          <w14:textFill>
            <w14:solidFill>
              <w14:schemeClr w14:val="tx1"/>
            </w14:solidFill>
          </w14:textFill>
        </w:rPr>
        <w:t xml:space="preserve">                                                       </w:t>
      </w:r>
      <w:r>
        <w:rPr>
          <w:rFonts w:hint="default" w:ascii="Times New Roman" w:hAnsi="Times New Roman" w:cs="Times New Roman"/>
          <w:color w:val="000000" w:themeColor="text1"/>
          <w:szCs w:val="21"/>
          <w:highlight w:val="none"/>
          <w14:textFill>
            <w14:solidFill>
              <w14:schemeClr w14:val="tx1"/>
            </w14:solidFill>
          </w14:textFill>
        </w:rPr>
        <w:t>单位：人民币万元</w:t>
      </w:r>
    </w:p>
    <w:tbl>
      <w:tblPr>
        <w:tblStyle w:val="4"/>
        <w:tblW w:w="8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3"/>
        <w:gridCol w:w="2393"/>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autoSpaceDE w:val="0"/>
              <w:autoSpaceDN w:val="0"/>
              <w:adjustRightInd w:val="0"/>
              <w:jc w:val="both"/>
              <w:rPr>
                <w:rFonts w:hint="default" w:ascii="Times New Roman" w:hAnsi="Times New Roman" w:eastAsia="仿宋_GB2312" w:cs="Times New Roman"/>
                <w:b/>
                <w:color w:val="000000" w:themeColor="text1"/>
                <w:spacing w:val="1"/>
                <w:kern w:val="0"/>
                <w:position w:val="-2"/>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1"/>
                <w:kern w:val="0"/>
                <w:position w:val="-2"/>
                <w:sz w:val="24"/>
                <w:szCs w:val="24"/>
                <w:highlight w:val="none"/>
                <w14:textFill>
                  <w14:solidFill>
                    <w14:schemeClr w14:val="tx1"/>
                  </w14:solidFill>
                </w14:textFill>
              </w:rPr>
              <w:t>项   目</w:t>
            </w:r>
          </w:p>
        </w:tc>
        <w:tc>
          <w:tcPr>
            <w:tcW w:w="2393" w:type="dxa"/>
            <w:noWrap w:val="0"/>
            <w:vAlign w:val="center"/>
          </w:tcPr>
          <w:p>
            <w:pPr>
              <w:jc w:val="both"/>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z w:val="24"/>
                <w:szCs w:val="24"/>
                <w:highlight w:val="none"/>
                <w14:textFill>
                  <w14:solidFill>
                    <w14:schemeClr w14:val="tx1"/>
                  </w14:solidFill>
                </w14:textFill>
              </w:rPr>
              <w:t>202</w:t>
            </w:r>
            <w:r>
              <w:rPr>
                <w:rFonts w:hint="default" w:ascii="Times New Roman" w:hAnsi="Times New Roman" w:eastAsia="仿宋_GB2312" w:cs="Times New Roman"/>
                <w:b/>
                <w:color w:val="000000" w:themeColor="text1"/>
                <w:sz w:val="24"/>
                <w:szCs w:val="24"/>
                <w:highlight w:val="none"/>
                <w:lang w:val="en-US" w:eastAsia="zh-CN"/>
                <w14:textFill>
                  <w14:solidFill>
                    <w14:schemeClr w14:val="tx1"/>
                  </w14:solidFill>
                </w14:textFill>
              </w:rPr>
              <w:t>4</w:t>
            </w:r>
            <w:r>
              <w:rPr>
                <w:rFonts w:hint="default" w:ascii="Times New Roman" w:hAnsi="Times New Roman" w:eastAsia="仿宋_GB2312" w:cs="Times New Roman"/>
                <w:b/>
                <w:color w:val="000000" w:themeColor="text1"/>
                <w:sz w:val="24"/>
                <w:szCs w:val="24"/>
                <w:highlight w:val="none"/>
                <w14:textFill>
                  <w14:solidFill>
                    <w14:schemeClr w14:val="tx1"/>
                  </w14:solidFill>
                </w14:textFill>
              </w:rPr>
              <w:t>年</w:t>
            </w:r>
          </w:p>
        </w:tc>
        <w:tc>
          <w:tcPr>
            <w:tcW w:w="2442" w:type="dxa"/>
            <w:noWrap w:val="0"/>
            <w:vAlign w:val="center"/>
          </w:tcPr>
          <w:p>
            <w:pPr>
              <w:jc w:val="both"/>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z w:val="24"/>
                <w:szCs w:val="24"/>
                <w:highlight w:val="none"/>
                <w14:textFill>
                  <w14:solidFill>
                    <w14:schemeClr w14:val="tx1"/>
                  </w14:solidFill>
                </w14:textFill>
              </w:rPr>
              <w:t>202</w:t>
            </w:r>
            <w:r>
              <w:rPr>
                <w:rFonts w:hint="eastAsia" w:eastAsia="仿宋_GB2312" w:cs="Times New Roman"/>
                <w:b/>
                <w:color w:val="000000" w:themeColor="text1"/>
                <w:sz w:val="24"/>
                <w:szCs w:val="24"/>
                <w:highlight w:val="none"/>
                <w:lang w:val="en-US" w:eastAsia="zh-CN"/>
                <w14:textFill>
                  <w14:solidFill>
                    <w14:schemeClr w14:val="tx1"/>
                  </w14:solidFill>
                </w14:textFill>
              </w:rPr>
              <w:t>5</w:t>
            </w:r>
            <w:r>
              <w:rPr>
                <w:rFonts w:hint="default" w:ascii="Times New Roman" w:hAnsi="Times New Roman" w:eastAsia="仿宋_GB2312" w:cs="Times New Roman"/>
                <w:b/>
                <w:color w:val="000000" w:themeColor="text1"/>
                <w:sz w:val="24"/>
                <w:szCs w:val="24"/>
                <w:highlight w:val="none"/>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autoSpaceDE w:val="0"/>
              <w:autoSpaceDN w:val="0"/>
              <w:adjustRightInd w:val="0"/>
              <w:ind w:left="10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1"/>
                <w:kern w:val="0"/>
                <w:position w:val="-2"/>
                <w:sz w:val="24"/>
                <w:szCs w:val="24"/>
                <w:highlight w:val="none"/>
                <w14:textFill>
                  <w14:solidFill>
                    <w14:schemeClr w14:val="tx1"/>
                  </w14:solidFill>
                </w14:textFill>
              </w:rPr>
              <w:t>资本净额</w:t>
            </w:r>
          </w:p>
        </w:tc>
        <w:tc>
          <w:tcPr>
            <w:tcW w:w="2393" w:type="dxa"/>
            <w:noWrap w:val="0"/>
            <w:vAlign w:val="center"/>
          </w:tcPr>
          <w:p>
            <w:pPr>
              <w:spacing w:line="320" w:lineRule="exact"/>
              <w:jc w:val="both"/>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val="0"/>
                <w:color w:val="000000" w:themeColor="text1"/>
                <w:kern w:val="0"/>
                <w:sz w:val="24"/>
                <w:szCs w:val="24"/>
                <w:highlight w:val="none"/>
                <w:lang w:val="en-US" w:eastAsia="zh-CN" w:bidi="ar"/>
                <w14:textFill>
                  <w14:solidFill>
                    <w14:schemeClr w14:val="tx1"/>
                  </w14:solidFill>
                </w14:textFill>
              </w:rPr>
              <w:t xml:space="preserve"> 14,259.13</w:t>
            </w:r>
          </w:p>
        </w:tc>
        <w:tc>
          <w:tcPr>
            <w:tcW w:w="2442" w:type="dxa"/>
            <w:noWrap w:val="0"/>
            <w:vAlign w:val="center"/>
          </w:tcPr>
          <w:p>
            <w:pPr>
              <w:spacing w:line="320" w:lineRule="exact"/>
              <w:jc w:val="center"/>
              <w:rPr>
                <w:rFonts w:hint="default" w:ascii="Times New Roman" w:hAnsi="Times New Roman" w:eastAsia="仿宋_GB2312" w:cs="Times New Roman"/>
                <w:bCs w:val="0"/>
                <w:color w:val="000000" w:themeColor="text1"/>
                <w:kern w:val="0"/>
                <w:sz w:val="24"/>
                <w:szCs w:val="24"/>
                <w:highlight w:val="none"/>
                <w:lang w:bidi="ar"/>
                <w14:textFill>
                  <w14:solidFill>
                    <w14:schemeClr w14:val="tx1"/>
                  </w14:solidFill>
                </w14:textFill>
              </w:rPr>
            </w:pPr>
            <w:r>
              <w:rPr>
                <w:rFonts w:hint="eastAsia" w:eastAsia="仿宋_GB2312" w:cs="Times New Roman"/>
                <w:bCs w:val="0"/>
                <w:color w:val="000000" w:themeColor="text1"/>
                <w:kern w:val="0"/>
                <w:sz w:val="24"/>
                <w:szCs w:val="24"/>
                <w:highlight w:val="none"/>
                <w:lang w:val="en-US" w:eastAsia="zh-CN" w:bidi="ar"/>
                <w14:textFill>
                  <w14:solidFill>
                    <w14:schemeClr w14:val="tx1"/>
                  </w14:solidFill>
                </w14:textFill>
              </w:rPr>
              <w:t>13258.69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autoSpaceDE w:val="0"/>
              <w:autoSpaceDN w:val="0"/>
              <w:adjustRightInd w:val="0"/>
              <w:ind w:left="100"/>
              <w:jc w:val="both"/>
              <w:rPr>
                <w:rFonts w:hint="default" w:ascii="Times New Roman" w:hAnsi="Times New Roman" w:eastAsia="仿宋_GB2312" w:cs="Times New Roman"/>
                <w:color w:val="000000" w:themeColor="text1"/>
                <w:spacing w:val="1"/>
                <w:kern w:val="0"/>
                <w:position w:val="-2"/>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1"/>
                <w:kern w:val="0"/>
                <w:position w:val="-2"/>
                <w:sz w:val="24"/>
                <w:szCs w:val="24"/>
                <w:highlight w:val="none"/>
                <w14:textFill>
                  <w14:solidFill>
                    <w14:schemeClr w14:val="tx1"/>
                  </w14:solidFill>
                </w14:textFill>
              </w:rPr>
              <w:t>一级资本净额</w:t>
            </w:r>
          </w:p>
        </w:tc>
        <w:tc>
          <w:tcPr>
            <w:tcW w:w="2393" w:type="dxa"/>
            <w:noWrap w:val="0"/>
            <w:vAlign w:val="top"/>
          </w:tcPr>
          <w:p>
            <w:pPr>
              <w:widowControl/>
              <w:tabs>
                <w:tab w:val="center" w:pos="591"/>
                <w:tab w:val="right" w:pos="1183"/>
              </w:tabs>
              <w:adjustRightInd/>
              <w:snapToGrid/>
              <w:spacing w:line="320" w:lineRule="exact"/>
              <w:jc w:val="both"/>
              <w:rPr>
                <w:rFonts w:hint="default" w:ascii="Times New Roman" w:hAnsi="Times New Roman" w:eastAsia="仿宋_GB2312" w:cs="Times New Roman"/>
                <w:bCs/>
                <w:color w:val="000000" w:themeColor="text1"/>
                <w:sz w:val="24"/>
                <w:szCs w:val="24"/>
                <w:highlight w:val="none"/>
                <w:lang w:val="en-US"/>
                <w14:textFill>
                  <w14:solidFill>
                    <w14:schemeClr w14:val="tx1"/>
                  </w14:solidFill>
                </w14:textFill>
              </w:rPr>
            </w:pPr>
            <w:r>
              <w:rPr>
                <w:rFonts w:hint="default" w:ascii="Times New Roman" w:hAnsi="Times New Roman" w:eastAsia="仿宋_GB2312" w:cs="Times New Roman"/>
                <w:bCs w:val="0"/>
                <w:color w:val="000000" w:themeColor="text1"/>
                <w:kern w:val="0"/>
                <w:sz w:val="24"/>
                <w:szCs w:val="24"/>
                <w:highlight w:val="none"/>
                <w:lang w:val="en-US" w:eastAsia="zh-CN" w:bidi="ar"/>
                <w14:textFill>
                  <w14:solidFill>
                    <w14:schemeClr w14:val="tx1"/>
                  </w14:solidFill>
                </w14:textFill>
              </w:rPr>
              <w:t xml:space="preserve"> 13,380.89</w:t>
            </w:r>
          </w:p>
        </w:tc>
        <w:tc>
          <w:tcPr>
            <w:tcW w:w="2442" w:type="dxa"/>
            <w:noWrap w:val="0"/>
            <w:vAlign w:val="top"/>
          </w:tcPr>
          <w:p>
            <w:pPr>
              <w:widowControl/>
              <w:tabs>
                <w:tab w:val="center" w:pos="591"/>
                <w:tab w:val="right" w:pos="1183"/>
              </w:tabs>
              <w:adjustRightInd/>
              <w:snapToGrid/>
              <w:spacing w:line="320" w:lineRule="exact"/>
              <w:jc w:val="center"/>
              <w:rPr>
                <w:rFonts w:hint="default" w:ascii="Times New Roman" w:hAnsi="Times New Roman" w:eastAsia="仿宋_GB2312" w:cs="Times New Roman"/>
                <w:bCs w:val="0"/>
                <w:color w:val="000000" w:themeColor="text1"/>
                <w:kern w:val="0"/>
                <w:sz w:val="24"/>
                <w:szCs w:val="24"/>
                <w:highlight w:val="none"/>
                <w:lang w:bidi="ar"/>
                <w14:textFill>
                  <w14:solidFill>
                    <w14:schemeClr w14:val="tx1"/>
                  </w14:solidFill>
                </w14:textFill>
              </w:rPr>
            </w:pPr>
            <w:r>
              <w:rPr>
                <w:rFonts w:hint="eastAsia" w:eastAsia="仿宋_GB2312" w:cs="Times New Roman"/>
                <w:bCs w:val="0"/>
                <w:color w:val="000000" w:themeColor="text1"/>
                <w:kern w:val="0"/>
                <w:sz w:val="24"/>
                <w:szCs w:val="24"/>
                <w:highlight w:val="none"/>
                <w:lang w:val="en-US" w:eastAsia="zh-CN" w:bidi="ar"/>
                <w14:textFill>
                  <w14:solidFill>
                    <w14:schemeClr w14:val="tx1"/>
                  </w14:solidFill>
                </w14:textFill>
              </w:rPr>
              <w:t>11997.16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autoSpaceDE w:val="0"/>
              <w:autoSpaceDN w:val="0"/>
              <w:adjustRightInd w:val="0"/>
              <w:ind w:left="10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pacing w:val="1"/>
                <w:kern w:val="0"/>
                <w:position w:val="-2"/>
                <w:sz w:val="24"/>
                <w:szCs w:val="24"/>
                <w:highlight w:val="none"/>
                <w14:textFill>
                  <w14:solidFill>
                    <w14:schemeClr w14:val="tx1"/>
                  </w14:solidFill>
                </w14:textFill>
              </w:rPr>
              <w:t>核心一级资本净额</w:t>
            </w:r>
          </w:p>
        </w:tc>
        <w:tc>
          <w:tcPr>
            <w:tcW w:w="2393" w:type="dxa"/>
            <w:noWrap w:val="0"/>
            <w:vAlign w:val="top"/>
          </w:tcPr>
          <w:p>
            <w:pPr>
              <w:widowControl/>
              <w:tabs>
                <w:tab w:val="center" w:pos="591"/>
                <w:tab w:val="right" w:pos="1183"/>
              </w:tabs>
              <w:adjustRightInd/>
              <w:snapToGrid/>
              <w:spacing w:line="320" w:lineRule="exact"/>
              <w:jc w:val="both"/>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val="0"/>
                <w:color w:val="000000" w:themeColor="text1"/>
                <w:kern w:val="0"/>
                <w:sz w:val="24"/>
                <w:szCs w:val="24"/>
                <w:highlight w:val="none"/>
                <w:lang w:val="en-US" w:eastAsia="zh-CN" w:bidi="ar"/>
                <w14:textFill>
                  <w14:solidFill>
                    <w14:schemeClr w14:val="tx1"/>
                  </w14:solidFill>
                </w14:textFill>
              </w:rPr>
              <w:t xml:space="preserve"> 13,380.89</w:t>
            </w:r>
          </w:p>
        </w:tc>
        <w:tc>
          <w:tcPr>
            <w:tcW w:w="2442" w:type="dxa"/>
            <w:noWrap w:val="0"/>
            <w:vAlign w:val="top"/>
          </w:tcPr>
          <w:p>
            <w:pPr>
              <w:widowControl/>
              <w:tabs>
                <w:tab w:val="center" w:pos="591"/>
                <w:tab w:val="right" w:pos="1183"/>
              </w:tabs>
              <w:adjustRightInd/>
              <w:snapToGrid/>
              <w:spacing w:line="320" w:lineRule="exact"/>
              <w:jc w:val="center"/>
              <w:rPr>
                <w:rFonts w:hint="default" w:ascii="Times New Roman" w:hAnsi="Times New Roman" w:eastAsia="仿宋_GB2312" w:cs="Times New Roman"/>
                <w:bCs w:val="0"/>
                <w:color w:val="000000" w:themeColor="text1"/>
                <w:kern w:val="0"/>
                <w:sz w:val="24"/>
                <w:szCs w:val="24"/>
                <w:highlight w:val="none"/>
                <w:lang w:bidi="ar"/>
                <w14:textFill>
                  <w14:solidFill>
                    <w14:schemeClr w14:val="tx1"/>
                  </w14:solidFill>
                </w14:textFill>
              </w:rPr>
            </w:pPr>
            <w:r>
              <w:rPr>
                <w:rFonts w:hint="eastAsia" w:eastAsia="仿宋_GB2312" w:cs="Times New Roman"/>
                <w:bCs w:val="0"/>
                <w:color w:val="000000" w:themeColor="text1"/>
                <w:kern w:val="0"/>
                <w:sz w:val="24"/>
                <w:szCs w:val="24"/>
                <w:highlight w:val="none"/>
                <w:lang w:val="en-US" w:eastAsia="zh-CN" w:bidi="ar"/>
                <w14:textFill>
                  <w14:solidFill>
                    <w14:schemeClr w14:val="tx1"/>
                  </w14:solidFill>
                </w14:textFill>
              </w:rPr>
              <w:t>11997.16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autoSpaceDE w:val="0"/>
              <w:autoSpaceDN w:val="0"/>
              <w:adjustRightInd w:val="0"/>
              <w:jc w:val="both"/>
              <w:rPr>
                <w:rFonts w:hint="default" w:ascii="Times New Roman" w:hAnsi="Times New Roman" w:eastAsia="仿宋_GB2312" w:cs="Times New Roman"/>
                <w:color w:val="000000" w:themeColor="text1"/>
                <w:kern w:val="0"/>
                <w:position w:val="-2"/>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position w:val="-2"/>
                <w:sz w:val="24"/>
                <w:szCs w:val="24"/>
                <w:highlight w:val="none"/>
                <w14:textFill>
                  <w14:solidFill>
                    <w14:schemeClr w14:val="tx1"/>
                  </w14:solidFill>
                </w14:textFill>
              </w:rPr>
              <w:t>风险加权资产总额</w:t>
            </w:r>
          </w:p>
        </w:tc>
        <w:tc>
          <w:tcPr>
            <w:tcW w:w="2393" w:type="dxa"/>
            <w:noWrap w:val="0"/>
            <w:vAlign w:val="center"/>
          </w:tcPr>
          <w:p>
            <w:pPr>
              <w:spacing w:line="320" w:lineRule="exact"/>
              <w:jc w:val="both"/>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highlight w:val="none"/>
                <w:lang w:val="en-US" w:eastAsia="zh-CN" w:bidi="ar"/>
                <w14:textFill>
                  <w14:solidFill>
                    <w14:schemeClr w14:val="tx1"/>
                  </w14:solidFill>
                </w14:textFill>
              </w:rPr>
              <w:t xml:space="preserve"> 56,767.20</w:t>
            </w:r>
            <w:r>
              <w:rPr>
                <w:rFonts w:hint="default" w:ascii="Times New Roman" w:hAnsi="Times New Roman" w:eastAsia="仿宋_GB2312" w:cs="Times New Roman"/>
                <w:color w:val="000000" w:themeColor="text1"/>
                <w:kern w:val="0"/>
                <w:sz w:val="24"/>
                <w:szCs w:val="24"/>
                <w:highlight w:val="none"/>
                <w:lang w:bidi="ar"/>
                <w14:textFill>
                  <w14:solidFill>
                    <w14:schemeClr w14:val="tx1"/>
                  </w14:solidFill>
                </w14:textFill>
              </w:rPr>
              <w:t xml:space="preserve"> </w:t>
            </w:r>
          </w:p>
        </w:tc>
        <w:tc>
          <w:tcPr>
            <w:tcW w:w="2442" w:type="dxa"/>
            <w:noWrap w:val="0"/>
            <w:vAlign w:val="center"/>
          </w:tcPr>
          <w:p>
            <w:pPr>
              <w:spacing w:line="320" w:lineRule="exact"/>
              <w:jc w:val="center"/>
              <w:rPr>
                <w:rFonts w:hint="default" w:ascii="Times New Roman" w:hAnsi="Times New Roman" w:eastAsia="仿宋_GB2312" w:cs="Times New Roman"/>
                <w:bCs w:val="0"/>
                <w:color w:val="000000" w:themeColor="text1"/>
                <w:kern w:val="0"/>
                <w:sz w:val="24"/>
                <w:szCs w:val="24"/>
                <w:highlight w:val="none"/>
                <w:lang w:bidi="ar"/>
                <w14:textFill>
                  <w14:solidFill>
                    <w14:schemeClr w14:val="tx1"/>
                  </w14:solidFill>
                </w14:textFill>
              </w:rPr>
            </w:pPr>
            <w:r>
              <w:rPr>
                <w:rFonts w:hint="eastAsia" w:eastAsia="仿宋_GB2312" w:cs="Times New Roman"/>
                <w:color w:val="000000" w:themeColor="text1"/>
                <w:kern w:val="0"/>
                <w:sz w:val="24"/>
                <w:szCs w:val="24"/>
                <w:highlight w:val="none"/>
                <w:lang w:val="en-US" w:eastAsia="zh-CN" w:bidi="ar"/>
                <w14:textFill>
                  <w14:solidFill>
                    <w14:schemeClr w14:val="tx1"/>
                  </w14:solidFill>
                </w14:textFill>
              </w:rPr>
              <w:t>65167.57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jc w:val="both"/>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资本充足率</w:t>
            </w:r>
          </w:p>
        </w:tc>
        <w:tc>
          <w:tcPr>
            <w:tcW w:w="2393" w:type="dxa"/>
            <w:noWrap w:val="0"/>
            <w:vAlign w:val="center"/>
          </w:tcPr>
          <w:p>
            <w:pPr>
              <w:spacing w:line="320" w:lineRule="exact"/>
              <w:jc w:val="both"/>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val="0"/>
                <w:color w:val="000000" w:themeColor="text1"/>
                <w:kern w:val="0"/>
                <w:sz w:val="24"/>
                <w:szCs w:val="24"/>
                <w:highlight w:val="none"/>
                <w:lang w:val="en-US" w:eastAsia="zh-CN" w:bidi="ar"/>
                <w14:textFill>
                  <w14:solidFill>
                    <w14:schemeClr w14:val="tx1"/>
                  </w14:solidFill>
                </w14:textFill>
              </w:rPr>
              <w:t>25.1186%</w:t>
            </w:r>
          </w:p>
        </w:tc>
        <w:tc>
          <w:tcPr>
            <w:tcW w:w="2442" w:type="dxa"/>
            <w:noWrap w:val="0"/>
            <w:vAlign w:val="center"/>
          </w:tcPr>
          <w:p>
            <w:pPr>
              <w:spacing w:line="320" w:lineRule="exact"/>
              <w:jc w:val="center"/>
              <w:rPr>
                <w:rFonts w:hint="default" w:ascii="Times New Roman" w:hAnsi="Times New Roman" w:eastAsia="仿宋_GB2312" w:cs="Times New Roman"/>
                <w:bCs w:val="0"/>
                <w:color w:val="000000" w:themeColor="text1"/>
                <w:kern w:val="0"/>
                <w:sz w:val="24"/>
                <w:szCs w:val="24"/>
                <w:highlight w:val="none"/>
                <w:lang w:bidi="ar"/>
                <w14:textFill>
                  <w14:solidFill>
                    <w14:schemeClr w14:val="tx1"/>
                  </w14:solidFill>
                </w14:textFill>
              </w:rPr>
            </w:pPr>
            <w:r>
              <w:rPr>
                <w:rFonts w:hint="eastAsia" w:eastAsia="仿宋_GB2312" w:cs="Times New Roman"/>
                <w:bCs w:val="0"/>
                <w:color w:val="000000" w:themeColor="text1"/>
                <w:kern w:val="0"/>
                <w:sz w:val="24"/>
                <w:szCs w:val="24"/>
                <w:highlight w:val="none"/>
                <w:lang w:val="en-US" w:eastAsia="zh-CN" w:bidi="ar"/>
                <w14:textFill>
                  <w14:solidFill>
                    <w14:schemeClr w14:val="tx1"/>
                  </w14:solidFill>
                </w14:textFill>
              </w:rPr>
              <w:t>20.35</w:t>
            </w:r>
            <w:r>
              <w:rPr>
                <w:rFonts w:hint="default" w:ascii="Times New Roman" w:hAnsi="Times New Roman" w:eastAsia="仿宋_GB2312" w:cs="Times New Roman"/>
                <w:bCs w:val="0"/>
                <w:color w:val="000000" w:themeColor="text1"/>
                <w:kern w:val="0"/>
                <w:sz w:val="24"/>
                <w:szCs w:val="24"/>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jc w:val="both"/>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一级资本充足率</w:t>
            </w:r>
          </w:p>
        </w:tc>
        <w:tc>
          <w:tcPr>
            <w:tcW w:w="2393" w:type="dxa"/>
            <w:noWrap w:val="0"/>
            <w:vAlign w:val="center"/>
          </w:tcPr>
          <w:p>
            <w:pPr>
              <w:spacing w:line="320" w:lineRule="exact"/>
              <w:jc w:val="both"/>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val="0"/>
                <w:color w:val="000000" w:themeColor="text1"/>
                <w:kern w:val="0"/>
                <w:sz w:val="24"/>
                <w:szCs w:val="24"/>
                <w:highlight w:val="none"/>
                <w:lang w:val="en-US" w:eastAsia="zh-CN" w:bidi="ar"/>
                <w14:textFill>
                  <w14:solidFill>
                    <w14:schemeClr w14:val="tx1"/>
                  </w14:solidFill>
                </w14:textFill>
              </w:rPr>
              <w:t>23.5715%</w:t>
            </w:r>
          </w:p>
        </w:tc>
        <w:tc>
          <w:tcPr>
            <w:tcW w:w="2442" w:type="dxa"/>
            <w:noWrap w:val="0"/>
            <w:vAlign w:val="center"/>
          </w:tcPr>
          <w:p>
            <w:pPr>
              <w:spacing w:line="320" w:lineRule="exact"/>
              <w:jc w:val="center"/>
              <w:rPr>
                <w:rFonts w:hint="default" w:ascii="Times New Roman" w:hAnsi="Times New Roman" w:eastAsia="仿宋_GB2312" w:cs="Times New Roman"/>
                <w:bCs w:val="0"/>
                <w:color w:val="000000" w:themeColor="text1"/>
                <w:kern w:val="0"/>
                <w:sz w:val="24"/>
                <w:szCs w:val="24"/>
                <w:highlight w:val="none"/>
                <w:lang w:bidi="ar"/>
                <w14:textFill>
                  <w14:solidFill>
                    <w14:schemeClr w14:val="tx1"/>
                  </w14:solidFill>
                </w14:textFill>
              </w:rPr>
            </w:pPr>
            <w:r>
              <w:rPr>
                <w:rFonts w:hint="eastAsia" w:eastAsia="仿宋_GB2312" w:cs="Times New Roman"/>
                <w:bCs w:val="0"/>
                <w:color w:val="000000" w:themeColor="text1"/>
                <w:kern w:val="0"/>
                <w:sz w:val="24"/>
                <w:szCs w:val="24"/>
                <w:highlight w:val="none"/>
                <w:lang w:val="en-US" w:eastAsia="zh-CN" w:bidi="ar"/>
                <w14:textFill>
                  <w14:solidFill>
                    <w14:schemeClr w14:val="tx1"/>
                  </w14:solidFill>
                </w14:textFill>
              </w:rPr>
              <w:t>18.41</w:t>
            </w:r>
            <w:r>
              <w:rPr>
                <w:rFonts w:hint="default" w:ascii="Times New Roman" w:hAnsi="Times New Roman" w:eastAsia="仿宋_GB2312" w:cs="Times New Roman"/>
                <w:bCs w:val="0"/>
                <w:color w:val="000000" w:themeColor="text1"/>
                <w:kern w:val="0"/>
                <w:sz w:val="24"/>
                <w:szCs w:val="24"/>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3473" w:type="dxa"/>
            <w:noWrap w:val="0"/>
            <w:vAlign w:val="center"/>
          </w:tcPr>
          <w:p>
            <w:pPr>
              <w:jc w:val="both"/>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核心一级资本充足率</w:t>
            </w:r>
          </w:p>
        </w:tc>
        <w:tc>
          <w:tcPr>
            <w:tcW w:w="2393" w:type="dxa"/>
            <w:noWrap w:val="0"/>
            <w:vAlign w:val="center"/>
          </w:tcPr>
          <w:p>
            <w:pPr>
              <w:spacing w:line="320" w:lineRule="exact"/>
              <w:jc w:val="both"/>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val="0"/>
                <w:color w:val="000000" w:themeColor="text1"/>
                <w:kern w:val="0"/>
                <w:sz w:val="24"/>
                <w:szCs w:val="24"/>
                <w:highlight w:val="none"/>
                <w:lang w:val="en-US" w:eastAsia="zh-CN" w:bidi="ar"/>
                <w14:textFill>
                  <w14:solidFill>
                    <w14:schemeClr w14:val="tx1"/>
                  </w14:solidFill>
                </w14:textFill>
              </w:rPr>
              <w:t>23.5715%</w:t>
            </w:r>
          </w:p>
        </w:tc>
        <w:tc>
          <w:tcPr>
            <w:tcW w:w="2442" w:type="dxa"/>
            <w:noWrap w:val="0"/>
            <w:vAlign w:val="center"/>
          </w:tcPr>
          <w:p>
            <w:pPr>
              <w:spacing w:line="320" w:lineRule="exact"/>
              <w:jc w:val="center"/>
              <w:rPr>
                <w:rFonts w:hint="default" w:ascii="Times New Roman" w:hAnsi="Times New Roman" w:eastAsia="仿宋_GB2312" w:cs="Times New Roman"/>
                <w:bCs w:val="0"/>
                <w:color w:val="000000" w:themeColor="text1"/>
                <w:kern w:val="0"/>
                <w:sz w:val="24"/>
                <w:szCs w:val="24"/>
                <w:highlight w:val="none"/>
                <w:lang w:bidi="ar"/>
                <w14:textFill>
                  <w14:solidFill>
                    <w14:schemeClr w14:val="tx1"/>
                  </w14:solidFill>
                </w14:textFill>
              </w:rPr>
            </w:pPr>
            <w:r>
              <w:rPr>
                <w:rFonts w:hint="eastAsia" w:eastAsia="仿宋_GB2312" w:cs="Times New Roman"/>
                <w:bCs w:val="0"/>
                <w:color w:val="000000" w:themeColor="text1"/>
                <w:kern w:val="0"/>
                <w:sz w:val="24"/>
                <w:szCs w:val="24"/>
                <w:highlight w:val="none"/>
                <w:lang w:val="en-US" w:eastAsia="zh-CN" w:bidi="ar"/>
                <w14:textFill>
                  <w14:solidFill>
                    <w14:schemeClr w14:val="tx1"/>
                  </w14:solidFill>
                </w14:textFill>
              </w:rPr>
              <w:t>18.41</w:t>
            </w:r>
            <w:r>
              <w:rPr>
                <w:rFonts w:hint="default" w:ascii="Times New Roman" w:hAnsi="Times New Roman" w:eastAsia="仿宋_GB2312" w:cs="Times New Roman"/>
                <w:bCs w:val="0"/>
                <w:color w:val="000000" w:themeColor="text1"/>
                <w:kern w:val="0"/>
                <w:sz w:val="24"/>
                <w:szCs w:val="24"/>
                <w:highlight w:val="none"/>
                <w:lang w:val="en-US" w:eastAsia="zh-CN" w:bidi="ar"/>
                <w14:textFill>
                  <w14:solidFill>
                    <w14:schemeClr w14:val="tx1"/>
                  </w14:solidFill>
                </w14:textFill>
              </w:rPr>
              <w:t>%</w:t>
            </w:r>
          </w:p>
        </w:tc>
      </w:tr>
    </w:tbl>
    <w:p>
      <w:pPr>
        <w:autoSpaceDE w:val="0"/>
        <w:autoSpaceDN w:val="0"/>
        <w:adjustRightInd w:val="0"/>
        <w:ind w:firstLine="482" w:firstLineChars="200"/>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b/>
          <w:color w:val="auto"/>
          <w:kern w:val="0"/>
          <w:position w:val="-3"/>
          <w:sz w:val="24"/>
          <w:szCs w:val="24"/>
          <w:highlight w:val="none"/>
        </w:rPr>
        <w:t>注：</w:t>
      </w:r>
      <w:r>
        <w:rPr>
          <w:rFonts w:hint="default" w:ascii="Times New Roman" w:hAnsi="Times New Roman" w:eastAsia="仿宋_GB2312" w:cs="Times New Roman"/>
          <w:color w:val="auto"/>
          <w:kern w:val="0"/>
          <w:sz w:val="24"/>
          <w:szCs w:val="24"/>
          <w:highlight w:val="none"/>
        </w:rPr>
        <w:t>根据中国银行业监督管理委员会2012年6月颁布的《商业银行资本管理办法（试行）》计量资本充足率相关数据指标。</w:t>
      </w:r>
    </w:p>
    <w:p>
      <w:pPr>
        <w:autoSpaceDE w:val="0"/>
        <w:autoSpaceDN w:val="0"/>
        <w:adjustRightInd w:val="0"/>
        <w:ind w:firstLine="420" w:firstLineChars="200"/>
        <w:jc w:val="both"/>
        <w:rPr>
          <w:rFonts w:hint="default" w:ascii="Times New Roman" w:hAnsi="Times New Roman" w:cs="Times New Roman"/>
          <w:color w:val="auto"/>
          <w:kern w:val="0"/>
          <w:szCs w:val="21"/>
          <w:highlight w:val="none"/>
        </w:rPr>
      </w:pPr>
    </w:p>
    <w:p>
      <w:pPr>
        <w:autoSpaceDE w:val="0"/>
        <w:autoSpaceDN w:val="0"/>
        <w:adjustRightInd w:val="0"/>
        <w:ind w:firstLine="590" w:firstLineChars="196"/>
        <w:jc w:val="both"/>
        <w:rPr>
          <w:rFonts w:hint="default" w:ascii="Times New Roman" w:hAnsi="Times New Roman" w:eastAsia="仿宋_GB2312" w:cs="Times New Roman"/>
          <w:b/>
          <w:color w:val="auto"/>
          <w:kern w:val="0"/>
          <w:sz w:val="30"/>
          <w:szCs w:val="30"/>
          <w:highlight w:val="none"/>
        </w:rPr>
      </w:pPr>
      <w:r>
        <w:rPr>
          <w:rFonts w:hint="default" w:ascii="Times New Roman" w:hAnsi="Times New Roman" w:eastAsia="仿宋_GB2312" w:cs="Times New Roman"/>
          <w:b/>
          <w:color w:val="auto"/>
          <w:kern w:val="0"/>
          <w:sz w:val="30"/>
          <w:szCs w:val="30"/>
          <w:highlight w:val="none"/>
        </w:rPr>
        <w:t>4.3 公司前二年主要合规指标</w:t>
      </w:r>
    </w:p>
    <w:tbl>
      <w:tblPr>
        <w:tblStyle w:val="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4"/>
        <w:gridCol w:w="1568"/>
        <w:gridCol w:w="1735"/>
        <w:gridCol w:w="1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项  目</w:t>
            </w:r>
          </w:p>
        </w:tc>
        <w:tc>
          <w:tcPr>
            <w:tcW w:w="15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监管指标</w:t>
            </w:r>
          </w:p>
        </w:tc>
        <w:tc>
          <w:tcPr>
            <w:tcW w:w="1735"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202</w:t>
            </w: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年</w:t>
            </w:r>
          </w:p>
        </w:tc>
        <w:tc>
          <w:tcPr>
            <w:tcW w:w="1737"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202</w:t>
            </w:r>
            <w:r>
              <w:rPr>
                <w:rFonts w:hint="eastAsia"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流动性比率</w:t>
            </w:r>
          </w:p>
        </w:tc>
        <w:tc>
          <w:tcPr>
            <w:tcW w:w="15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1735"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 xml:space="preserve">97.52% </w:t>
            </w:r>
          </w:p>
        </w:tc>
        <w:tc>
          <w:tcPr>
            <w:tcW w:w="1737" w:type="dxa"/>
            <w:noWrap w:val="0"/>
            <w:vAlign w:val="center"/>
          </w:tcPr>
          <w:p>
            <w:pPr>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eastAsia" w:eastAsia="仿宋_GB2312" w:cs="Times New Roman"/>
                <w:color w:val="000000" w:themeColor="text1"/>
                <w:sz w:val="24"/>
                <w:szCs w:val="24"/>
                <w:highlight w:val="none"/>
                <w:lang w:val="en-US" w:eastAsia="zh-CN"/>
                <w14:textFill>
                  <w14:solidFill>
                    <w14:schemeClr w14:val="tx1"/>
                  </w14:solidFill>
                </w14:textFill>
              </w:rPr>
              <w:t>127.36</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存贷比</w:t>
            </w:r>
          </w:p>
        </w:tc>
        <w:tc>
          <w:tcPr>
            <w:tcW w:w="15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＞50％</w:t>
            </w:r>
          </w:p>
        </w:tc>
        <w:tc>
          <w:tcPr>
            <w:tcW w:w="1735"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 xml:space="preserve">75.12% </w:t>
            </w:r>
          </w:p>
        </w:tc>
        <w:tc>
          <w:tcPr>
            <w:tcW w:w="1737" w:type="dxa"/>
            <w:noWrap w:val="0"/>
            <w:vAlign w:val="center"/>
          </w:tcPr>
          <w:p>
            <w:pPr>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eastAsia" w:eastAsia="仿宋_GB2312" w:cs="Times New Roman"/>
                <w:color w:val="000000" w:themeColor="text1"/>
                <w:sz w:val="24"/>
                <w:szCs w:val="24"/>
                <w:highlight w:val="none"/>
                <w:lang w:val="en-US" w:eastAsia="zh-CN"/>
                <w14:textFill>
                  <w14:solidFill>
                    <w14:schemeClr w14:val="tx1"/>
                  </w14:solidFill>
                </w14:textFill>
              </w:rPr>
              <w:t>68.45</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拨备覆盖率</w:t>
            </w:r>
          </w:p>
        </w:tc>
        <w:tc>
          <w:tcPr>
            <w:tcW w:w="15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≥150％</w:t>
            </w:r>
          </w:p>
        </w:tc>
        <w:tc>
          <w:tcPr>
            <w:tcW w:w="1735"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 xml:space="preserve">155.22% </w:t>
            </w:r>
          </w:p>
        </w:tc>
        <w:tc>
          <w:tcPr>
            <w:tcW w:w="1737" w:type="dxa"/>
            <w:noWrap w:val="0"/>
            <w:vAlign w:val="center"/>
          </w:tcPr>
          <w:p>
            <w:pPr>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155.</w:t>
            </w:r>
            <w:r>
              <w:rPr>
                <w:rFonts w:hint="eastAsia" w:eastAsia="仿宋_GB2312" w:cs="Times New Roman"/>
                <w:color w:val="000000" w:themeColor="text1"/>
                <w:sz w:val="24"/>
                <w:szCs w:val="24"/>
                <w:highlight w:val="none"/>
                <w:lang w:val="en-US" w:eastAsia="zh-CN"/>
                <w14:textFill>
                  <w14:solidFill>
                    <w14:schemeClr w14:val="tx1"/>
                  </w14:solidFill>
                </w14:textFill>
              </w:rPr>
              <w:t>04</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贷款拨备率</w:t>
            </w:r>
          </w:p>
        </w:tc>
        <w:tc>
          <w:tcPr>
            <w:tcW w:w="15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≥2.5%</w:t>
            </w:r>
          </w:p>
        </w:tc>
        <w:tc>
          <w:tcPr>
            <w:tcW w:w="1735"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 xml:space="preserve">4.04% </w:t>
            </w:r>
          </w:p>
        </w:tc>
        <w:tc>
          <w:tcPr>
            <w:tcW w:w="1737" w:type="dxa"/>
            <w:noWrap w:val="0"/>
            <w:vAlign w:val="center"/>
          </w:tcPr>
          <w:p>
            <w:pPr>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eastAsia" w:eastAsia="仿宋_GB2312" w:cs="Times New Roman"/>
                <w:color w:val="000000" w:themeColor="text1"/>
                <w:sz w:val="24"/>
                <w:szCs w:val="24"/>
                <w:highlight w:val="none"/>
                <w:lang w:val="en-US" w:eastAsia="zh-CN"/>
                <w14:textFill>
                  <w14:solidFill>
                    <w14:schemeClr w14:val="tx1"/>
                  </w14:solidFill>
                </w14:textFill>
              </w:rPr>
              <w:t>5.38</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25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单一最大客户贷款比例</w:t>
            </w:r>
          </w:p>
        </w:tc>
        <w:tc>
          <w:tcPr>
            <w:tcW w:w="15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≤10％</w:t>
            </w:r>
          </w:p>
        </w:tc>
        <w:tc>
          <w:tcPr>
            <w:tcW w:w="1735"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rPr>
              <w:t>7.01%</w:t>
            </w:r>
          </w:p>
        </w:tc>
        <w:tc>
          <w:tcPr>
            <w:tcW w:w="1737" w:type="dxa"/>
            <w:noWrap w:val="0"/>
            <w:vAlign w:val="center"/>
          </w:tcPr>
          <w:p>
            <w:pPr>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eastAsia" w:eastAsia="仿宋_GB2312" w:cs="Times New Roman"/>
                <w:color w:val="000000" w:themeColor="text1"/>
                <w:sz w:val="24"/>
                <w:szCs w:val="24"/>
                <w:highlight w:val="none"/>
                <w:lang w:val="en-US" w:eastAsia="zh-CN"/>
                <w14:textFill>
                  <w14:solidFill>
                    <w14:schemeClr w14:val="tx1"/>
                  </w14:solidFill>
                </w14:textFill>
              </w:rPr>
              <w:t>127.36</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5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单一最大集团客户授信比</w:t>
            </w:r>
          </w:p>
        </w:tc>
        <w:tc>
          <w:tcPr>
            <w:tcW w:w="15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≤15％</w:t>
            </w:r>
          </w:p>
        </w:tc>
        <w:tc>
          <w:tcPr>
            <w:tcW w:w="1735"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rPr>
              <w:t>13.50%</w:t>
            </w:r>
          </w:p>
        </w:tc>
        <w:tc>
          <w:tcPr>
            <w:tcW w:w="1737" w:type="dxa"/>
            <w:noWrap w:val="0"/>
            <w:vAlign w:val="center"/>
          </w:tcPr>
          <w:p>
            <w:pPr>
              <w:jc w:val="cente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eastAsia" w:eastAsia="仿宋_GB2312" w:cs="Times New Roman"/>
                <w:color w:val="000000" w:themeColor="text1"/>
                <w:sz w:val="24"/>
                <w:szCs w:val="24"/>
                <w:highlight w:val="none"/>
                <w:lang w:val="en-US" w:eastAsia="zh-CN"/>
                <w14:textFill>
                  <w14:solidFill>
                    <w14:schemeClr w14:val="tx1"/>
                  </w14:solidFill>
                </w14:textFill>
              </w:rPr>
              <w:t>68.45</w:t>
            </w: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w:t>
            </w:r>
          </w:p>
        </w:tc>
      </w:tr>
    </w:tbl>
    <w:p>
      <w:pPr>
        <w:autoSpaceDE w:val="0"/>
        <w:autoSpaceDN w:val="0"/>
        <w:adjustRightInd w:val="0"/>
        <w:ind w:firstLine="422" w:firstLineChars="200"/>
        <w:jc w:val="both"/>
        <w:rPr>
          <w:rFonts w:hint="default" w:ascii="Times New Roman" w:hAnsi="Times New Roman" w:cs="Times New Roman"/>
          <w:b/>
          <w:color w:val="auto"/>
          <w:kern w:val="0"/>
          <w:position w:val="-3"/>
          <w:szCs w:val="21"/>
          <w:highlight w:val="none"/>
        </w:rPr>
      </w:pPr>
    </w:p>
    <w:p>
      <w:pPr>
        <w:autoSpaceDE w:val="0"/>
        <w:autoSpaceDN w:val="0"/>
        <w:adjustRightInd w:val="0"/>
        <w:ind w:firstLine="602" w:firstLineChars="200"/>
        <w:jc w:val="both"/>
        <w:rPr>
          <w:rFonts w:hint="default" w:ascii="Times New Roman" w:hAnsi="Times New Roman" w:eastAsia="仿宋_GB2312" w:cs="Times New Roman"/>
          <w:b/>
          <w:color w:val="auto"/>
          <w:kern w:val="0"/>
          <w:position w:val="-3"/>
          <w:sz w:val="30"/>
          <w:szCs w:val="30"/>
          <w:highlight w:val="none"/>
          <w:lang w:eastAsia="zh-CN"/>
        </w:rPr>
      </w:pPr>
      <w:r>
        <w:rPr>
          <w:rFonts w:hint="default" w:ascii="Times New Roman" w:hAnsi="Times New Roman" w:eastAsia="仿宋_GB2312" w:cs="Times New Roman"/>
          <w:b/>
          <w:color w:val="auto"/>
          <w:kern w:val="0"/>
          <w:position w:val="-3"/>
          <w:sz w:val="30"/>
          <w:szCs w:val="30"/>
          <w:highlight w:val="none"/>
        </w:rPr>
        <w:t>4.4 贷款投放情况</w:t>
      </w:r>
    </w:p>
    <w:p>
      <w:pPr>
        <w:autoSpaceDE w:val="0"/>
        <w:autoSpaceDN w:val="0"/>
        <w:adjustRightInd w:val="0"/>
        <w:ind w:firstLine="602" w:firstLineChars="200"/>
        <w:jc w:val="both"/>
        <w:rPr>
          <w:rFonts w:hint="default" w:ascii="Times New Roman" w:hAnsi="Times New Roman" w:eastAsia="仿宋_GB2312" w:cs="Times New Roman"/>
          <w:b/>
          <w:bCs/>
          <w:color w:val="auto"/>
          <w:sz w:val="30"/>
          <w:szCs w:val="30"/>
          <w:highlight w:val="none"/>
        </w:rPr>
      </w:pPr>
      <w:r>
        <w:rPr>
          <w:rFonts w:hint="default" w:ascii="Times New Roman" w:hAnsi="Times New Roman" w:eastAsia="仿宋_GB2312" w:cs="Times New Roman"/>
          <w:b/>
          <w:bCs/>
          <w:color w:val="auto"/>
          <w:sz w:val="30"/>
          <w:szCs w:val="30"/>
          <w:highlight w:val="none"/>
        </w:rPr>
        <w:t>4.4.1  贷款行业分布情况</w:t>
      </w:r>
    </w:p>
    <w:p>
      <w:pPr>
        <w:autoSpaceDE w:val="0"/>
        <w:autoSpaceDN w:val="0"/>
        <w:adjustRightInd w:val="0"/>
        <w:ind w:firstLine="6300" w:firstLineChars="3000"/>
        <w:jc w:val="both"/>
        <w:rPr>
          <w:rFonts w:hint="default" w:ascii="Times New Roman" w:hAnsi="Times New Roman" w:cs="Times New Roman"/>
          <w:color w:val="auto"/>
          <w:kern w:val="0"/>
          <w:position w:val="-3"/>
          <w:szCs w:val="21"/>
          <w:highlight w:val="none"/>
        </w:rPr>
      </w:pPr>
      <w:r>
        <w:rPr>
          <w:rFonts w:hint="default" w:ascii="Times New Roman" w:hAnsi="Times New Roman" w:cs="Times New Roman"/>
          <w:color w:val="auto"/>
          <w:szCs w:val="21"/>
          <w:highlight w:val="none"/>
        </w:rPr>
        <w:t>单位：人民币万元</w:t>
      </w:r>
    </w:p>
    <w:tbl>
      <w:tblPr>
        <w:tblStyle w:val="4"/>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284"/>
        <w:gridCol w:w="1000"/>
        <w:gridCol w:w="1285"/>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486" w:type="dxa"/>
            <w:vMerge w:val="restart"/>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行  业</w:t>
            </w:r>
          </w:p>
        </w:tc>
        <w:tc>
          <w:tcPr>
            <w:tcW w:w="2284" w:type="dxa"/>
            <w:gridSpan w:val="2"/>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202</w:t>
            </w:r>
            <w:r>
              <w:rPr>
                <w:rFonts w:hint="eastAsia"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年12月31日</w:t>
            </w:r>
          </w:p>
        </w:tc>
        <w:tc>
          <w:tcPr>
            <w:tcW w:w="2570" w:type="dxa"/>
            <w:gridSpan w:val="2"/>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202</w:t>
            </w:r>
            <w:r>
              <w:rPr>
                <w:rFonts w:hint="eastAsia"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486" w:type="dxa"/>
            <w:vMerge w:val="continue"/>
            <w:noWrap w:val="0"/>
            <w:vAlign w:val="center"/>
          </w:tcPr>
          <w:p>
            <w:pPr>
              <w:jc w:val="both"/>
              <w:rPr>
                <w:rFonts w:hint="default" w:ascii="Times New Roman" w:hAnsi="Times New Roman" w:eastAsia="仿宋_GB2312" w:cs="Times New Roman"/>
                <w:color w:val="auto"/>
                <w:sz w:val="24"/>
                <w:szCs w:val="24"/>
                <w:highlight w:val="none"/>
              </w:rPr>
            </w:pPr>
          </w:p>
        </w:tc>
        <w:tc>
          <w:tcPr>
            <w:tcW w:w="128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金额</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比例</w:t>
            </w:r>
          </w:p>
        </w:tc>
        <w:tc>
          <w:tcPr>
            <w:tcW w:w="1285"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金额</w:t>
            </w:r>
          </w:p>
        </w:tc>
        <w:tc>
          <w:tcPr>
            <w:tcW w:w="1285"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个人贷款(不含个人经营性贷款)</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2261.53</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3.74%</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2356.44</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农、林、牧、渔业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3542.32</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5.86%</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3057.98</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制造业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9976.92</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16.51%</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13184.86</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批发和零售业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11434.46</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18.92%</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16584.06</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25.35%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租赁和商务服务业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4413.60</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7.30%</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4559.24</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居民服务、修理和其他服务业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2626.07</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4.34%</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3697.34</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5.65%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教育业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553.40</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0.92%</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841.40</w:t>
            </w:r>
          </w:p>
        </w:tc>
        <w:tc>
          <w:tcPr>
            <w:tcW w:w="1285" w:type="dxa"/>
            <w:noWrap w:val="0"/>
            <w:vAlign w:val="center"/>
          </w:tcPr>
          <w:p>
            <w:pPr>
              <w:jc w:val="center"/>
              <w:rPr>
                <w:rFonts w:hint="default" w:ascii="Times New Roman" w:hAnsi="Times New Roman" w:cs="Times New Roman"/>
                <w:color w:val="auto"/>
                <w:highlight w:val="none"/>
              </w:rPr>
            </w:pPr>
            <w:r>
              <w:rPr>
                <w:rFonts w:hint="eastAsia" w:ascii="Times New Roman" w:hAnsi="Times New Roman" w:eastAsia="仿宋_GB2312" w:cs="Times New Roman"/>
                <w:sz w:val="24"/>
                <w:szCs w:val="24"/>
                <w:highlight w:val="none"/>
                <w:lang w:val="en-US" w:eastAsia="zh-CN"/>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交通运输业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1262.00</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2.09%</w:t>
            </w:r>
          </w:p>
        </w:tc>
        <w:tc>
          <w:tcPr>
            <w:tcW w:w="1285" w:type="dxa"/>
            <w:noWrap w:val="0"/>
            <w:vAlign w:val="center"/>
          </w:tcPr>
          <w:p>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2561.08</w:t>
            </w:r>
          </w:p>
        </w:tc>
        <w:tc>
          <w:tcPr>
            <w:tcW w:w="1285" w:type="dxa"/>
            <w:noWrap w:val="0"/>
            <w:vAlign w:val="center"/>
          </w:tcPr>
          <w:p>
            <w:pPr>
              <w:jc w:val="center"/>
              <w:rPr>
                <w:rFonts w:hint="default" w:ascii="Times New Roman" w:hAnsi="Times New Roman" w:eastAsia="仿宋_GB2312" w:cs="Times New Roman"/>
                <w:color w:val="auto"/>
                <w:sz w:val="24"/>
                <w:szCs w:val="24"/>
                <w:highlight w:val="none"/>
              </w:rPr>
            </w:pPr>
            <w:r>
              <w:rPr>
                <w:rFonts w:hint="eastAsia" w:ascii="Times New Roman" w:hAnsi="Times New Roman" w:eastAsia="仿宋_GB2312" w:cs="Times New Roman"/>
                <w:sz w:val="24"/>
                <w:szCs w:val="24"/>
                <w:highlight w:val="none"/>
                <w:lang w:val="en-US" w:eastAsia="zh-CN"/>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采矿业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0</w:t>
            </w:r>
          </w:p>
        </w:tc>
        <w:tc>
          <w:tcPr>
            <w:tcW w:w="1000"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0.00%</w:t>
            </w:r>
          </w:p>
        </w:tc>
        <w:tc>
          <w:tcPr>
            <w:tcW w:w="1285" w:type="dxa"/>
            <w:noWrap w:val="0"/>
            <w:vAlign w:val="center"/>
          </w:tcPr>
          <w:p>
            <w:pPr>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sz w:val="24"/>
                <w:szCs w:val="24"/>
                <w:highlight w:val="none"/>
                <w:lang w:val="en-US" w:eastAsia="zh-CN"/>
              </w:rPr>
              <w:t>0</w:t>
            </w:r>
          </w:p>
        </w:tc>
        <w:tc>
          <w:tcPr>
            <w:tcW w:w="1285" w:type="dxa"/>
            <w:noWrap w:val="0"/>
            <w:vAlign w:val="center"/>
          </w:tcPr>
          <w:p>
            <w:pPr>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sz w:val="24"/>
                <w:szCs w:val="24"/>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电力、热力、燃气及水生产和供应业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1127.00</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1.87%</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eastAsia="zh-CN"/>
              </w:rPr>
            </w:pPr>
            <w:r>
              <w:rPr>
                <w:rFonts w:hint="eastAsia" w:ascii="Times New Roman" w:hAnsi="Times New Roman" w:eastAsia="仿宋_GB2312" w:cs="Times New Roman"/>
                <w:sz w:val="24"/>
                <w:szCs w:val="24"/>
                <w:highlight w:val="none"/>
                <w:lang w:val="en-US" w:eastAsia="zh-CN"/>
              </w:rPr>
              <w:t>1290.00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公共管理、社会保障和社会组织</w:t>
            </w:r>
          </w:p>
        </w:tc>
        <w:tc>
          <w:tcPr>
            <w:tcW w:w="128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0</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0.00%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sz w:val="24"/>
                <w:szCs w:val="24"/>
                <w:highlight w:val="none"/>
                <w:lang w:val="en-US" w:eastAsia="zh-CN"/>
              </w:rPr>
              <w:t>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sz w:val="24"/>
                <w:szCs w:val="24"/>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建筑业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13557.71</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22.43%</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8015.02</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文化、体育和娱乐业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1453.62</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2.40%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1427.58</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信息传输、软件和信息技术服务业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415.32</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0.69%</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528.50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住宿和餐饮业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4789.00</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7.92%</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4843.54</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金融业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0</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0.00%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sz w:val="24"/>
                <w:szCs w:val="24"/>
                <w:highlight w:val="none"/>
                <w:lang w:val="en-US" w:eastAsia="zh-CN"/>
              </w:rPr>
              <w:t>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sz w:val="24"/>
                <w:szCs w:val="24"/>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科学研究和技术服务业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249.00</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0.41%</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eastAsia="zh-CN"/>
              </w:rPr>
            </w:pPr>
            <w:r>
              <w:rPr>
                <w:rFonts w:hint="eastAsia" w:ascii="Times New Roman" w:hAnsi="Times New Roman" w:eastAsia="仿宋_GB2312" w:cs="Times New Roman"/>
                <w:sz w:val="24"/>
                <w:szCs w:val="24"/>
                <w:highlight w:val="none"/>
                <w:lang w:val="en-US" w:eastAsia="zh-CN"/>
              </w:rPr>
              <w:t>297.40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卫生和社会工作</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217.00</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0.36%</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287.00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房地产业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0</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0.00%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eastAsia="zh-CN"/>
              </w:rPr>
            </w:pPr>
            <w:r>
              <w:rPr>
                <w:rFonts w:hint="default" w:ascii="Times New Roman" w:hAnsi="Times New Roman" w:eastAsia="仿宋_GB2312" w:cs="Times New Roman"/>
                <w:sz w:val="24"/>
                <w:szCs w:val="24"/>
                <w:highlight w:val="none"/>
                <w:lang w:val="en-US" w:eastAsia="zh-CN"/>
              </w:rPr>
              <w:t>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sz w:val="24"/>
                <w:szCs w:val="24"/>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486"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水利、环境和公共设施管理业</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2565</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4.24%</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1879.00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eastAsia" w:ascii="Times New Roman" w:hAnsi="Times New Roman" w:eastAsia="仿宋_GB2312" w:cs="Times New Roman"/>
                <w:sz w:val="24"/>
                <w:szCs w:val="24"/>
                <w:highlight w:val="none"/>
                <w:lang w:val="en-US" w:eastAsia="zh-CN"/>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486" w:type="dxa"/>
            <w:noWrap w:val="0"/>
            <w:vAlign w:val="bottom"/>
          </w:tcPr>
          <w:p>
            <w:pPr>
              <w:widowControl/>
              <w:jc w:val="both"/>
              <w:textAlignment w:val="bottom"/>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贷款和垫款总额 </w:t>
            </w:r>
          </w:p>
        </w:tc>
        <w:tc>
          <w:tcPr>
            <w:tcW w:w="1284"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60443.95</w:t>
            </w:r>
          </w:p>
        </w:tc>
        <w:tc>
          <w:tcPr>
            <w:tcW w:w="1000" w:type="dxa"/>
            <w:noWrap w:val="0"/>
            <w:vAlign w:val="center"/>
          </w:tcPr>
          <w:p>
            <w:pPr>
              <w:keepNext w:val="0"/>
              <w:keepLines w:val="0"/>
              <w:widowControl/>
              <w:suppressLineNumbers w:val="0"/>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i w:val="0"/>
                <w:color w:val="auto"/>
                <w:kern w:val="0"/>
                <w:sz w:val="24"/>
                <w:szCs w:val="24"/>
                <w:highlight w:val="none"/>
                <w:u w:val="none"/>
                <w:lang w:val="en-US" w:eastAsia="zh-CN" w:bidi="ar"/>
              </w:rPr>
              <w:t>100.00%</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65410.45</w:t>
            </w:r>
          </w:p>
        </w:tc>
        <w:tc>
          <w:tcPr>
            <w:tcW w:w="1285" w:type="dxa"/>
            <w:noWrap w:val="0"/>
            <w:vAlign w:val="center"/>
          </w:tcPr>
          <w:p>
            <w:pPr>
              <w:jc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sz w:val="24"/>
                <w:szCs w:val="24"/>
                <w:highlight w:val="none"/>
                <w:lang w:val="en-US" w:eastAsia="zh-CN"/>
              </w:rPr>
              <w:t>100.00%</w:t>
            </w:r>
          </w:p>
        </w:tc>
      </w:tr>
    </w:tbl>
    <w:p>
      <w:pPr>
        <w:ind w:firstLine="422" w:firstLineChars="200"/>
        <w:jc w:val="both"/>
        <w:rPr>
          <w:rFonts w:hint="default" w:ascii="Times New Roman" w:hAnsi="Times New Roman" w:cs="Times New Roman"/>
          <w:b/>
          <w:bCs/>
          <w:color w:val="auto"/>
          <w:szCs w:val="21"/>
          <w:highlight w:val="none"/>
        </w:rPr>
      </w:pPr>
    </w:p>
    <w:p>
      <w:pPr>
        <w:ind w:firstLine="602"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4.4.2 贷款担保方式分布情况</w:t>
      </w:r>
      <w:r>
        <w:rPr>
          <w:rFonts w:hint="default" w:ascii="Times New Roman" w:hAnsi="Times New Roman" w:eastAsia="仿宋_GB2312" w:cs="Times New Roman"/>
          <w:color w:val="auto"/>
          <w:sz w:val="30"/>
          <w:szCs w:val="30"/>
          <w:highlight w:val="none"/>
        </w:rPr>
        <w:t xml:space="preserve"> </w:t>
      </w:r>
    </w:p>
    <w:p>
      <w:pPr>
        <w:ind w:firstLine="6300" w:firstLineChars="3000"/>
        <w:jc w:val="both"/>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单位：人民币万元</w:t>
      </w:r>
    </w:p>
    <w:tbl>
      <w:tblPr>
        <w:tblStyle w:val="4"/>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2745"/>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项  目</w:t>
            </w:r>
          </w:p>
        </w:tc>
        <w:tc>
          <w:tcPr>
            <w:tcW w:w="2745" w:type="dxa"/>
            <w:noWrap w:val="0"/>
            <w:vAlign w:val="center"/>
          </w:tcPr>
          <w:p>
            <w:pPr>
              <w:tabs>
                <w:tab w:val="right" w:pos="2018"/>
                <w:tab w:val="right" w:pos="7920"/>
              </w:tabs>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eastAsia" w:eastAsia="仿宋_GB2312" w:cs="Times New Roman"/>
                <w:b/>
                <w:color w:val="auto"/>
                <w:sz w:val="24"/>
                <w:szCs w:val="24"/>
                <w:highlight w:val="none"/>
                <w:lang w:val="en-US" w:eastAsia="zh-CN"/>
              </w:rPr>
              <w:t>4</w:t>
            </w:r>
            <w:r>
              <w:rPr>
                <w:rFonts w:hint="default" w:ascii="Times New Roman" w:hAnsi="Times New Roman" w:eastAsia="仿宋_GB2312" w:cs="Times New Roman"/>
                <w:b/>
                <w:color w:val="auto"/>
                <w:sz w:val="24"/>
                <w:szCs w:val="24"/>
                <w:highlight w:val="none"/>
              </w:rPr>
              <w:t>年12月31日</w:t>
            </w:r>
          </w:p>
        </w:tc>
        <w:tc>
          <w:tcPr>
            <w:tcW w:w="2817" w:type="dxa"/>
            <w:noWrap w:val="0"/>
            <w:vAlign w:val="center"/>
          </w:tcPr>
          <w:p>
            <w:pPr>
              <w:tabs>
                <w:tab w:val="right" w:pos="2018"/>
                <w:tab w:val="right" w:pos="7920"/>
              </w:tabs>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eastAsia" w:eastAsia="仿宋_GB2312" w:cs="Times New Roman"/>
                <w:b/>
                <w:color w:val="auto"/>
                <w:sz w:val="24"/>
                <w:szCs w:val="24"/>
                <w:highlight w:val="none"/>
                <w:lang w:val="en-US" w:eastAsia="zh-CN"/>
              </w:rPr>
              <w:t>5</w:t>
            </w:r>
            <w:r>
              <w:rPr>
                <w:rFonts w:hint="default" w:ascii="Times New Roman" w:hAnsi="Times New Roman" w:eastAsia="仿宋_GB2312" w:cs="Times New Roman"/>
                <w:b/>
                <w:color w:val="auto"/>
                <w:sz w:val="24"/>
                <w:szCs w:val="24"/>
                <w:highlight w:val="none"/>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保证贷款</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23089.27</w:t>
            </w:r>
          </w:p>
        </w:tc>
        <w:tc>
          <w:tcPr>
            <w:tcW w:w="2817" w:type="dxa"/>
            <w:noWrap w:val="0"/>
            <w:vAlign w:val="center"/>
          </w:tcPr>
          <w:p>
            <w:pPr>
              <w:jc w:val="center"/>
              <w:rPr>
                <w:rFonts w:hint="default" w:ascii="Times New Roman" w:hAnsi="Times New Roman" w:eastAsia="仿宋_GB2312" w:cs="Times New Roman"/>
                <w:bCs/>
                <w:color w:val="000000" w:themeColor="text1"/>
                <w:sz w:val="24"/>
                <w:szCs w:val="24"/>
                <w:highlight w:val="none"/>
                <w:lang w:val="en-US" w:eastAsia="zh-CN"/>
                <w14:textFill>
                  <w14:solidFill>
                    <w14:schemeClr w14:val="tx1"/>
                  </w14:solidFill>
                </w14:textFill>
              </w:rPr>
            </w:pPr>
            <w:r>
              <w:rPr>
                <w:rFonts w:hint="eastAsia" w:eastAsia="仿宋_GB2312" w:cs="Times New Roman"/>
                <w:bCs/>
                <w:color w:val="000000" w:themeColor="text1"/>
                <w:sz w:val="24"/>
                <w:szCs w:val="24"/>
                <w:highlight w:val="none"/>
                <w:lang w:val="en-US" w:eastAsia="zh-CN"/>
                <w14:textFill>
                  <w14:solidFill>
                    <w14:schemeClr w14:val="tx1"/>
                  </w14:solidFill>
                </w14:textFill>
              </w:rPr>
              <w:t>33211.41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附担保物贷款</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28943.76</w:t>
            </w:r>
          </w:p>
        </w:tc>
        <w:tc>
          <w:tcPr>
            <w:tcW w:w="2817" w:type="dxa"/>
            <w:noWrap w:val="0"/>
            <w:vAlign w:val="center"/>
          </w:tcPr>
          <w:p>
            <w:pPr>
              <w:jc w:val="center"/>
              <w:rPr>
                <w:rFonts w:hint="default" w:ascii="Times New Roman" w:hAnsi="Times New Roman" w:eastAsia="仿宋_GB2312" w:cs="Times New Roman"/>
                <w:bCs/>
                <w:color w:val="000000" w:themeColor="text1"/>
                <w:sz w:val="24"/>
                <w:szCs w:val="24"/>
                <w:highlight w:val="none"/>
                <w:lang w:val="en-US" w:eastAsia="zh-CN"/>
                <w14:textFill>
                  <w14:solidFill>
                    <w14:schemeClr w14:val="tx1"/>
                  </w14:solidFill>
                </w14:textFill>
              </w:rPr>
            </w:pPr>
            <w:r>
              <w:rPr>
                <w:rFonts w:hint="eastAsia" w:eastAsia="仿宋_GB2312" w:cs="Times New Roman"/>
                <w:bCs/>
                <w:color w:val="000000" w:themeColor="text1"/>
                <w:sz w:val="24"/>
                <w:szCs w:val="24"/>
                <w:highlight w:val="none"/>
                <w:lang w:val="en-US" w:eastAsia="zh-CN"/>
                <w14:textFill>
                  <w14:solidFill>
                    <w14:schemeClr w14:val="tx1"/>
                  </w14:solidFill>
                </w14:textFill>
              </w:rPr>
              <w:t>21444.02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其中：抵押贷款</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28908.76</w:t>
            </w:r>
          </w:p>
        </w:tc>
        <w:tc>
          <w:tcPr>
            <w:tcW w:w="2817" w:type="dxa"/>
            <w:noWrap w:val="0"/>
            <w:vAlign w:val="center"/>
          </w:tcPr>
          <w:p>
            <w:pPr>
              <w:jc w:val="center"/>
              <w:rPr>
                <w:rFonts w:hint="default" w:ascii="Times New Roman" w:hAnsi="Times New Roman" w:eastAsia="仿宋_GB2312" w:cs="Times New Roman"/>
                <w:bCs/>
                <w:color w:val="000000" w:themeColor="text1"/>
                <w:sz w:val="24"/>
                <w:szCs w:val="24"/>
                <w:highlight w:val="none"/>
                <w:lang w:val="en-US" w:eastAsia="zh-CN"/>
                <w14:textFill>
                  <w14:solidFill>
                    <w14:schemeClr w14:val="tx1"/>
                  </w14:solidFill>
                </w14:textFill>
              </w:rPr>
            </w:pPr>
            <w:r>
              <w:rPr>
                <w:rFonts w:hint="eastAsia" w:eastAsia="仿宋_GB2312" w:cs="Times New Roman"/>
                <w:bCs/>
                <w:color w:val="000000" w:themeColor="text1"/>
                <w:sz w:val="24"/>
                <w:szCs w:val="24"/>
                <w:highlight w:val="none"/>
                <w:lang w:val="en-US" w:eastAsia="zh-CN"/>
                <w14:textFill>
                  <w14:solidFill>
                    <w14:schemeClr w14:val="tx1"/>
                  </w14:solidFill>
                </w14:textFill>
              </w:rPr>
              <w:t>21434.02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质押贷款</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35</w:t>
            </w:r>
          </w:p>
        </w:tc>
        <w:tc>
          <w:tcPr>
            <w:tcW w:w="2817" w:type="dxa"/>
            <w:noWrap w:val="0"/>
            <w:vAlign w:val="center"/>
          </w:tcPr>
          <w:p>
            <w:pPr>
              <w:jc w:val="center"/>
              <w:rPr>
                <w:rFonts w:hint="default" w:ascii="Times New Roman" w:hAnsi="Times New Roman" w:eastAsia="仿宋_GB2312" w:cs="Times New Roman"/>
                <w:bCs/>
                <w:color w:val="000000" w:themeColor="text1"/>
                <w:sz w:val="24"/>
                <w:szCs w:val="24"/>
                <w:highlight w:val="none"/>
                <w:lang w:eastAsia="zh-CN"/>
                <w14:textFill>
                  <w14:solidFill>
                    <w14:schemeClr w14:val="tx1"/>
                  </w14:solidFill>
                </w14:textFill>
              </w:rPr>
            </w:pPr>
            <w:r>
              <w:rPr>
                <w:rFonts w:hint="eastAsia" w:eastAsia="仿宋_GB2312" w:cs="Times New Roman"/>
                <w:bCs/>
                <w:color w:val="000000" w:themeColor="text1"/>
                <w:sz w:val="24"/>
                <w:szCs w:val="24"/>
                <w:highlight w:val="none"/>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信用贷款</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8410.92</w:t>
            </w:r>
          </w:p>
        </w:tc>
        <w:tc>
          <w:tcPr>
            <w:tcW w:w="2817" w:type="dxa"/>
            <w:noWrap w:val="0"/>
            <w:vAlign w:val="center"/>
          </w:tcPr>
          <w:p>
            <w:pPr>
              <w:jc w:val="center"/>
              <w:rPr>
                <w:rFonts w:hint="default" w:ascii="Times New Roman" w:hAnsi="Times New Roman" w:eastAsia="仿宋_GB2312" w:cs="Times New Roman"/>
                <w:bCs/>
                <w:color w:val="000000" w:themeColor="text1"/>
                <w:sz w:val="24"/>
                <w:szCs w:val="24"/>
                <w:highlight w:val="none"/>
                <w:lang w:val="en-US" w:eastAsia="zh-CN"/>
                <w14:textFill>
                  <w14:solidFill>
                    <w14:schemeClr w14:val="tx1"/>
                  </w14:solidFill>
                </w14:textFill>
              </w:rPr>
            </w:pPr>
            <w:r>
              <w:rPr>
                <w:rFonts w:hint="eastAsia" w:eastAsia="仿宋_GB2312" w:cs="Times New Roman"/>
                <w:bCs/>
                <w:color w:val="000000" w:themeColor="text1"/>
                <w:sz w:val="24"/>
                <w:szCs w:val="24"/>
                <w:highlight w:val="none"/>
                <w:lang w:val="en-US" w:eastAsia="zh-CN"/>
                <w14:textFill>
                  <w14:solidFill>
                    <w14:schemeClr w14:val="tx1"/>
                  </w14:solidFill>
                </w14:textFill>
              </w:rPr>
              <w:t>10755.03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贴现</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eastAsia="zh-CN"/>
              </w:rPr>
            </w:pPr>
            <w:r>
              <w:rPr>
                <w:rFonts w:hint="default" w:ascii="Times New Roman" w:hAnsi="Times New Roman" w:eastAsia="仿宋_GB2312" w:cs="Times New Roman"/>
                <w:bCs/>
                <w:color w:val="auto"/>
                <w:sz w:val="24"/>
                <w:szCs w:val="24"/>
                <w:highlight w:val="none"/>
                <w:lang w:val="en-US" w:eastAsia="zh-CN"/>
              </w:rPr>
              <w:t>0</w:t>
            </w:r>
          </w:p>
        </w:tc>
        <w:tc>
          <w:tcPr>
            <w:tcW w:w="2817" w:type="dxa"/>
            <w:noWrap w:val="0"/>
            <w:vAlign w:val="center"/>
          </w:tcPr>
          <w:p>
            <w:pPr>
              <w:jc w:val="center"/>
              <w:rPr>
                <w:rFonts w:hint="default" w:ascii="Times New Roman" w:hAnsi="Times New Roman" w:eastAsia="仿宋_GB2312" w:cs="Times New Roman"/>
                <w:bCs/>
                <w:color w:val="000000" w:themeColor="text1"/>
                <w:sz w:val="24"/>
                <w:szCs w:val="24"/>
                <w:highlight w:val="none"/>
                <w:lang w:eastAsia="zh-CN"/>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其中：银行承兑汇票</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180.05</w:t>
            </w:r>
          </w:p>
        </w:tc>
        <w:tc>
          <w:tcPr>
            <w:tcW w:w="2817" w:type="dxa"/>
            <w:noWrap w:val="0"/>
            <w:vAlign w:val="center"/>
          </w:tcPr>
          <w:p>
            <w:pPr>
              <w:jc w:val="center"/>
              <w:rPr>
                <w:rFonts w:hint="default" w:ascii="Times New Roman" w:hAnsi="Times New Roman" w:eastAsia="仿宋_GB2312" w:cs="Times New Roman"/>
                <w:bCs/>
                <w:color w:val="000000" w:themeColor="text1"/>
                <w:sz w:val="24"/>
                <w:szCs w:val="24"/>
                <w:highlight w:val="none"/>
                <w:lang w:val="en-US" w:eastAsia="zh-CN"/>
                <w14:textFill>
                  <w14:solidFill>
                    <w14:schemeClr w14:val="tx1"/>
                  </w14:solidFill>
                </w14:textFill>
              </w:rPr>
            </w:pPr>
            <w:r>
              <w:rPr>
                <w:rFonts w:hint="eastAsia" w:eastAsia="仿宋_GB2312" w:cs="Times New Roman"/>
                <w:bCs/>
                <w:color w:val="000000" w:themeColor="text1"/>
                <w:sz w:val="24"/>
                <w:szCs w:val="24"/>
                <w:highlight w:val="no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758" w:type="dxa"/>
            <w:noWrap w:val="0"/>
            <w:vAlign w:val="center"/>
          </w:tcPr>
          <w:p>
            <w:pPr>
              <w:widowControl/>
              <w:jc w:val="both"/>
              <w:textAlignment w:val="center"/>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      商业承兑汇票</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0</w:t>
            </w:r>
          </w:p>
        </w:tc>
        <w:tc>
          <w:tcPr>
            <w:tcW w:w="2817" w:type="dxa"/>
            <w:noWrap w:val="0"/>
            <w:vAlign w:val="center"/>
          </w:tcPr>
          <w:p>
            <w:pPr>
              <w:jc w:val="center"/>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758" w:type="dxa"/>
            <w:noWrap w:val="0"/>
            <w:vAlign w:val="bottom"/>
          </w:tcPr>
          <w:p>
            <w:pPr>
              <w:widowControl/>
              <w:jc w:val="both"/>
              <w:textAlignment w:val="bottom"/>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bidi="ar"/>
              </w:rPr>
              <w:t xml:space="preserve">贷款和垫款总额 </w:t>
            </w:r>
          </w:p>
        </w:tc>
        <w:tc>
          <w:tcPr>
            <w:tcW w:w="2745" w:type="dxa"/>
            <w:noWrap w:val="0"/>
            <w:vAlign w:val="center"/>
          </w:tcPr>
          <w:p>
            <w:pPr>
              <w:jc w:val="both"/>
              <w:rPr>
                <w:rFonts w:hint="default" w:ascii="Times New Roman" w:hAnsi="Times New Roman" w:eastAsia="仿宋_GB2312" w:cs="Times New Roman"/>
                <w:bCs/>
                <w:color w:val="auto"/>
                <w:sz w:val="24"/>
                <w:szCs w:val="24"/>
                <w:highlight w:val="none"/>
                <w:lang w:val="en-US" w:eastAsia="zh-CN"/>
              </w:rPr>
            </w:pPr>
            <w:r>
              <w:rPr>
                <w:rFonts w:hint="default" w:ascii="Times New Roman" w:hAnsi="Times New Roman" w:eastAsia="仿宋_GB2312" w:cs="Times New Roman"/>
                <w:bCs/>
                <w:color w:val="auto"/>
                <w:sz w:val="24"/>
                <w:szCs w:val="24"/>
                <w:highlight w:val="none"/>
                <w:lang w:val="en-US" w:eastAsia="zh-CN"/>
              </w:rPr>
              <w:t>60443.95</w:t>
            </w:r>
          </w:p>
        </w:tc>
        <w:tc>
          <w:tcPr>
            <w:tcW w:w="2817" w:type="dxa"/>
            <w:noWrap w:val="0"/>
            <w:vAlign w:val="center"/>
          </w:tcPr>
          <w:p>
            <w:pPr>
              <w:jc w:val="center"/>
              <w:rPr>
                <w:rFonts w:hint="default" w:ascii="Times New Roman" w:hAnsi="Times New Roman" w:eastAsia="仿宋_GB2312" w:cs="Times New Roman"/>
                <w:bCs/>
                <w:color w:val="000000" w:themeColor="text1"/>
                <w:sz w:val="24"/>
                <w:szCs w:val="24"/>
                <w:highlight w:val="none"/>
                <w:lang w:val="en-US" w:eastAsia="zh-CN"/>
                <w14:textFill>
                  <w14:solidFill>
                    <w14:schemeClr w14:val="tx1"/>
                  </w14:solidFill>
                </w14:textFill>
              </w:rPr>
            </w:pPr>
            <w:r>
              <w:rPr>
                <w:rFonts w:hint="eastAsia" w:eastAsia="仿宋_GB2312" w:cs="Times New Roman"/>
                <w:bCs/>
                <w:color w:val="000000" w:themeColor="text1"/>
                <w:sz w:val="24"/>
                <w:szCs w:val="24"/>
                <w:highlight w:val="none"/>
                <w:lang w:val="en-US" w:eastAsia="zh-CN"/>
                <w14:textFill>
                  <w14:solidFill>
                    <w14:schemeClr w14:val="tx1"/>
                  </w14:solidFill>
                </w14:textFill>
              </w:rPr>
              <w:t>65410.45</w:t>
            </w:r>
          </w:p>
        </w:tc>
      </w:tr>
    </w:tbl>
    <w:p>
      <w:pPr>
        <w:jc w:val="both"/>
        <w:rPr>
          <w:rFonts w:hint="default" w:ascii="Times New Roman" w:hAnsi="Times New Roman" w:cs="Times New Roman"/>
          <w:color w:val="auto"/>
          <w:szCs w:val="21"/>
          <w:highlight w:val="none"/>
        </w:rPr>
      </w:pPr>
    </w:p>
    <w:p>
      <w:pPr>
        <w:ind w:firstLine="602"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bCs/>
          <w:color w:val="auto"/>
          <w:sz w:val="30"/>
          <w:szCs w:val="30"/>
          <w:highlight w:val="none"/>
        </w:rPr>
        <w:t>5</w:t>
      </w:r>
      <w:r>
        <w:rPr>
          <w:rFonts w:hint="default" w:ascii="Times New Roman" w:hAnsi="Times New Roman" w:eastAsia="仿宋_GB2312" w:cs="Times New Roman"/>
          <w:b/>
          <w:bCs/>
          <w:color w:val="auto"/>
          <w:sz w:val="30"/>
          <w:szCs w:val="30"/>
          <w:highlight w:val="none"/>
          <w:lang w:eastAsia="zh-CN"/>
        </w:rPr>
        <w:t>、</w:t>
      </w:r>
      <w:r>
        <w:rPr>
          <w:rFonts w:hint="default" w:ascii="Times New Roman" w:hAnsi="Times New Roman" w:eastAsia="仿宋_GB2312" w:cs="Times New Roman"/>
          <w:b/>
          <w:color w:val="auto"/>
          <w:sz w:val="30"/>
          <w:szCs w:val="30"/>
          <w:highlight w:val="none"/>
        </w:rPr>
        <w:t>股本变动及股东情况</w:t>
      </w:r>
    </w:p>
    <w:p>
      <w:pPr>
        <w:ind w:firstLine="602"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color w:val="auto"/>
          <w:sz w:val="30"/>
          <w:szCs w:val="30"/>
          <w:highlight w:val="none"/>
        </w:rPr>
        <w:t>5.1股东权益</w:t>
      </w:r>
    </w:p>
    <w:p>
      <w:pPr>
        <w:ind w:firstLine="6300" w:firstLineChars="3000"/>
        <w:jc w:val="both"/>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单位:万元</w:t>
      </w:r>
    </w:p>
    <w:tbl>
      <w:tblPr>
        <w:tblStyle w:val="4"/>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2549"/>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项  目</w:t>
            </w:r>
          </w:p>
        </w:tc>
        <w:tc>
          <w:tcPr>
            <w:tcW w:w="2549" w:type="dxa"/>
            <w:noWrap w:val="0"/>
            <w:vAlign w:val="center"/>
          </w:tcPr>
          <w:p>
            <w:pPr>
              <w:tabs>
                <w:tab w:val="right" w:pos="2018"/>
                <w:tab w:val="right" w:pos="7920"/>
              </w:tabs>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eastAsia" w:eastAsia="仿宋_GB2312" w:cs="Times New Roman"/>
                <w:b/>
                <w:color w:val="auto"/>
                <w:sz w:val="24"/>
                <w:szCs w:val="24"/>
                <w:highlight w:val="none"/>
                <w:lang w:val="en-US" w:eastAsia="zh-CN"/>
              </w:rPr>
              <w:t>4</w:t>
            </w:r>
            <w:r>
              <w:rPr>
                <w:rFonts w:hint="default" w:ascii="Times New Roman" w:hAnsi="Times New Roman" w:eastAsia="仿宋_GB2312" w:cs="Times New Roman"/>
                <w:b/>
                <w:color w:val="auto"/>
                <w:sz w:val="24"/>
                <w:szCs w:val="24"/>
                <w:highlight w:val="none"/>
              </w:rPr>
              <w:t>年12月31日</w:t>
            </w:r>
          </w:p>
        </w:tc>
        <w:tc>
          <w:tcPr>
            <w:tcW w:w="2708" w:type="dxa"/>
            <w:noWrap w:val="0"/>
            <w:vAlign w:val="center"/>
          </w:tcPr>
          <w:p>
            <w:pPr>
              <w:tabs>
                <w:tab w:val="right" w:pos="2018"/>
                <w:tab w:val="right" w:pos="7920"/>
              </w:tabs>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eastAsia" w:eastAsia="仿宋_GB2312" w:cs="Times New Roman"/>
                <w:b/>
                <w:color w:val="auto"/>
                <w:sz w:val="24"/>
                <w:szCs w:val="24"/>
                <w:highlight w:val="none"/>
                <w:lang w:val="en-US" w:eastAsia="zh-CN"/>
              </w:rPr>
              <w:t>5</w:t>
            </w:r>
            <w:r>
              <w:rPr>
                <w:rFonts w:hint="default" w:ascii="Times New Roman" w:hAnsi="Times New Roman" w:eastAsia="仿宋_GB2312" w:cs="Times New Roman"/>
                <w:b/>
                <w:color w:val="auto"/>
                <w:sz w:val="24"/>
                <w:szCs w:val="24"/>
                <w:highlight w:val="none"/>
              </w:rPr>
              <w:t>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023"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总股本</w:t>
            </w:r>
          </w:p>
        </w:tc>
        <w:tc>
          <w:tcPr>
            <w:tcW w:w="2549" w:type="dxa"/>
            <w:noWrap w:val="0"/>
            <w:vAlign w:val="center"/>
          </w:tcPr>
          <w:p>
            <w:pPr>
              <w:spacing w:line="320" w:lineRule="exact"/>
              <w:jc w:val="both"/>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bCs/>
                <w:color w:val="auto"/>
                <w:sz w:val="24"/>
                <w:szCs w:val="24"/>
                <w:highlight w:val="none"/>
              </w:rPr>
              <w:t>10000</w:t>
            </w:r>
          </w:p>
        </w:tc>
        <w:tc>
          <w:tcPr>
            <w:tcW w:w="2708" w:type="dxa"/>
            <w:noWrap w:val="0"/>
            <w:vAlign w:val="center"/>
          </w:tcPr>
          <w:p>
            <w:pPr>
              <w:spacing w:line="320" w:lineRule="exact"/>
              <w:jc w:val="center"/>
              <w:rPr>
                <w:rFonts w:hint="default" w:ascii="Times New Roman" w:hAnsi="Times New Roman" w:eastAsia="仿宋_GB2312" w:cs="Times New Roman"/>
                <w:b w:val="0"/>
                <w:bCs/>
                <w:color w:val="000000" w:themeColor="text1"/>
                <w:sz w:val="24"/>
                <w:szCs w:val="24"/>
                <w:highlight w:val="none"/>
                <w:lang w:val="en-US"/>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资本公积</w:t>
            </w:r>
          </w:p>
        </w:tc>
        <w:tc>
          <w:tcPr>
            <w:tcW w:w="2549" w:type="dxa"/>
            <w:noWrap w:val="0"/>
            <w:vAlign w:val="center"/>
          </w:tcPr>
          <w:p>
            <w:pPr>
              <w:spacing w:line="320" w:lineRule="exact"/>
              <w:jc w:val="both"/>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Cs/>
                <w:color w:val="auto"/>
                <w:sz w:val="24"/>
                <w:szCs w:val="24"/>
                <w:highlight w:val="none"/>
              </w:rPr>
              <w:t>-</w:t>
            </w:r>
          </w:p>
        </w:tc>
        <w:tc>
          <w:tcPr>
            <w:tcW w:w="2708" w:type="dxa"/>
            <w:noWrap w:val="0"/>
            <w:vAlign w:val="center"/>
          </w:tcPr>
          <w:p>
            <w:pPr>
              <w:spacing w:line="320" w:lineRule="exact"/>
              <w:jc w:val="center"/>
              <w:rPr>
                <w:rFonts w:hint="default" w:ascii="Times New Roman" w:hAnsi="Times New Roman" w:eastAsia="仿宋_GB2312" w:cs="Times New Roman"/>
                <w:b w:val="0"/>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盈余公积</w:t>
            </w:r>
          </w:p>
        </w:tc>
        <w:tc>
          <w:tcPr>
            <w:tcW w:w="2549" w:type="dxa"/>
            <w:noWrap w:val="0"/>
            <w:vAlign w:val="center"/>
          </w:tcPr>
          <w:p>
            <w:pPr>
              <w:jc w:val="both"/>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586</w:t>
            </w:r>
          </w:p>
        </w:tc>
        <w:tc>
          <w:tcPr>
            <w:tcW w:w="2708" w:type="dxa"/>
            <w:noWrap w:val="0"/>
            <w:vAlign w:val="center"/>
          </w:tcPr>
          <w:p>
            <w:pPr>
              <w:jc w:val="center"/>
              <w:rPr>
                <w:rFonts w:hint="default" w:ascii="Times New Roman" w:hAnsi="Times New Roman" w:eastAsia="仿宋_GB2312" w:cs="Times New Roman"/>
                <w:b w:val="0"/>
                <w:bCs/>
                <w:color w:val="000000" w:themeColor="text1"/>
                <w:sz w:val="24"/>
                <w:szCs w:val="24"/>
                <w:highlight w:val="none"/>
                <w:lang w:val="en-US"/>
                <w14:textFill>
                  <w14:solidFill>
                    <w14:schemeClr w14:val="tx1"/>
                  </w14:solidFill>
                </w14:textFill>
              </w:rPr>
            </w:pPr>
            <w:r>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t>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一般风险准备</w:t>
            </w:r>
          </w:p>
        </w:tc>
        <w:tc>
          <w:tcPr>
            <w:tcW w:w="2549" w:type="dxa"/>
            <w:noWrap w:val="0"/>
            <w:vAlign w:val="center"/>
          </w:tcPr>
          <w:p>
            <w:pPr>
              <w:jc w:val="both"/>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1452</w:t>
            </w:r>
          </w:p>
        </w:tc>
        <w:tc>
          <w:tcPr>
            <w:tcW w:w="2708" w:type="dxa"/>
            <w:noWrap w:val="0"/>
            <w:vAlign w:val="center"/>
          </w:tcPr>
          <w:p>
            <w:pPr>
              <w:jc w:val="center"/>
              <w:rPr>
                <w:rFonts w:hint="default" w:ascii="Times New Roman" w:hAnsi="Times New Roman" w:eastAsia="仿宋_GB2312" w:cs="Times New Roman"/>
                <w:b w:val="0"/>
                <w:bCs/>
                <w:color w:val="000000" w:themeColor="text1"/>
                <w:sz w:val="24"/>
                <w:szCs w:val="24"/>
                <w:highlight w:val="none"/>
                <w:lang w:val="en-US"/>
                <w14:textFill>
                  <w14:solidFill>
                    <w14:schemeClr w14:val="tx1"/>
                  </w14:solidFill>
                </w14:textFill>
              </w:rPr>
            </w:pPr>
            <w:r>
              <w:rPr>
                <w:rFonts w:hint="default" w:eastAsia="仿宋_GB2312" w:cs="Times New Roman"/>
                <w:color w:val="000000" w:themeColor="text1"/>
                <w:sz w:val="24"/>
                <w:szCs w:val="24"/>
                <w:highlight w:val="none"/>
                <w:lang w:val="en-US" w:eastAsia="zh-CN"/>
                <w14:textFill>
                  <w14:solidFill>
                    <w14:schemeClr w14:val="tx1"/>
                  </w14:solidFill>
                </w14:textFill>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未分配利润</w:t>
            </w:r>
          </w:p>
        </w:tc>
        <w:tc>
          <w:tcPr>
            <w:tcW w:w="2549" w:type="dxa"/>
            <w:noWrap w:val="0"/>
            <w:vAlign w:val="center"/>
          </w:tcPr>
          <w:p>
            <w:pPr>
              <w:jc w:val="both"/>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1343</w:t>
            </w:r>
          </w:p>
        </w:tc>
        <w:tc>
          <w:tcPr>
            <w:tcW w:w="2708" w:type="dxa"/>
            <w:noWrap w:val="0"/>
            <w:vAlign w:val="center"/>
          </w:tcPr>
          <w:p>
            <w:pPr>
              <w:jc w:val="center"/>
              <w:rPr>
                <w:rFonts w:hint="default" w:ascii="Times New Roman" w:hAnsi="Times New Roman" w:eastAsia="仿宋_GB2312" w:cs="Times New Roman"/>
                <w:b w:val="0"/>
                <w:bCs/>
                <w:color w:val="000000" w:themeColor="text1"/>
                <w:sz w:val="24"/>
                <w:szCs w:val="24"/>
                <w:highlight w:val="none"/>
                <w:lang w:val="en-US"/>
                <w14:textFill>
                  <w14:solidFill>
                    <w14:schemeClr w14:val="tx1"/>
                  </w14:solidFill>
                </w14:textFill>
              </w:rPr>
            </w:pPr>
            <w:r>
              <w:rPr>
                <w:rFonts w:hint="default" w:eastAsia="仿宋_GB2312" w:cs="Times New Roman"/>
                <w:color w:val="000000" w:themeColor="text1"/>
                <w:sz w:val="24"/>
                <w:szCs w:val="24"/>
                <w:highlight w:val="none"/>
                <w:lang w:val="en-US" w:eastAsia="zh-CN"/>
                <w14:textFill>
                  <w14:solidFill>
                    <w14:schemeClr w14:val="tx1"/>
                  </w14:solidFill>
                </w14:textFill>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023"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股东权益合计</w:t>
            </w:r>
          </w:p>
        </w:tc>
        <w:tc>
          <w:tcPr>
            <w:tcW w:w="2549" w:type="dxa"/>
            <w:noWrap w:val="0"/>
            <w:vAlign w:val="center"/>
          </w:tcPr>
          <w:p>
            <w:pPr>
              <w:spacing w:line="320" w:lineRule="exact"/>
              <w:jc w:val="both"/>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b/>
                <w:color w:val="auto"/>
                <w:sz w:val="24"/>
                <w:szCs w:val="24"/>
                <w:highlight w:val="none"/>
                <w:lang w:val="en-US" w:eastAsia="zh-CN"/>
              </w:rPr>
              <w:t>13381</w:t>
            </w:r>
          </w:p>
        </w:tc>
        <w:tc>
          <w:tcPr>
            <w:tcW w:w="2708" w:type="dxa"/>
            <w:noWrap w:val="0"/>
            <w:vAlign w:val="center"/>
          </w:tcPr>
          <w:p>
            <w:pPr>
              <w:spacing w:line="320" w:lineRule="exact"/>
              <w:jc w:val="center"/>
              <w:rPr>
                <w:rFonts w:hint="default" w:ascii="Times New Roman" w:hAnsi="Times New Roman" w:eastAsia="仿宋_GB2312" w:cs="Times New Roman"/>
                <w:b w:val="0"/>
                <w:bCs/>
                <w:color w:val="000000" w:themeColor="text1"/>
                <w:sz w:val="24"/>
                <w:szCs w:val="24"/>
                <w:highlight w:val="none"/>
                <w:lang w:val="en-US"/>
                <w14:textFill>
                  <w14:solidFill>
                    <w14:schemeClr w14:val="tx1"/>
                  </w14:solidFill>
                </w14:textFill>
              </w:rPr>
            </w:pPr>
            <w:r>
              <w:rPr>
                <w:rFonts w:hint="eastAsia" w:eastAsia="仿宋_GB2312" w:cs="Times New Roman"/>
                <w:b/>
                <w:color w:val="000000" w:themeColor="text1"/>
                <w:sz w:val="24"/>
                <w:szCs w:val="24"/>
                <w:highlight w:val="none"/>
                <w:lang w:val="en-US" w:eastAsia="zh-CN"/>
                <w14:textFill>
                  <w14:solidFill>
                    <w14:schemeClr w14:val="tx1"/>
                  </w14:solidFill>
                </w14:textFill>
              </w:rPr>
              <w:t>12206</w:t>
            </w:r>
          </w:p>
        </w:tc>
      </w:tr>
    </w:tbl>
    <w:p>
      <w:pPr>
        <w:ind w:firstLine="482" w:firstLineChars="200"/>
        <w:jc w:val="both"/>
        <w:rPr>
          <w:rFonts w:hint="default" w:ascii="Times New Roman" w:hAnsi="Times New Roman" w:eastAsia="仿宋_GB2312" w:cs="Times New Roman"/>
          <w:b/>
          <w:color w:val="auto"/>
          <w:sz w:val="24"/>
          <w:szCs w:val="24"/>
          <w:highlight w:val="none"/>
          <w:lang w:eastAsia="zh-CN"/>
        </w:rPr>
      </w:pPr>
    </w:p>
    <w:p>
      <w:pPr>
        <w:ind w:firstLine="602"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color w:val="auto"/>
          <w:sz w:val="30"/>
          <w:szCs w:val="30"/>
          <w:highlight w:val="none"/>
        </w:rPr>
        <w:t>5.2股本结构情况表</w:t>
      </w:r>
    </w:p>
    <w:p>
      <w:pPr>
        <w:ind w:firstLine="6930" w:firstLineChars="330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单位:万股</w:t>
      </w:r>
    </w:p>
    <w:tbl>
      <w:tblPr>
        <w:tblStyle w:val="4"/>
        <w:tblW w:w="8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8"/>
        <w:gridCol w:w="2773"/>
        <w:gridCol w:w="2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68" w:type="dxa"/>
            <w:noWrap w:val="0"/>
            <w:vAlign w:val="top"/>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股东类型</w:t>
            </w:r>
          </w:p>
        </w:tc>
        <w:tc>
          <w:tcPr>
            <w:tcW w:w="2773" w:type="dxa"/>
            <w:noWrap w:val="0"/>
            <w:vAlign w:val="top"/>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股本数</w:t>
            </w:r>
          </w:p>
        </w:tc>
        <w:tc>
          <w:tcPr>
            <w:tcW w:w="2854" w:type="dxa"/>
            <w:noWrap w:val="0"/>
            <w:vAlign w:val="top"/>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占总股本比例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国有股</w:t>
            </w:r>
          </w:p>
        </w:tc>
        <w:tc>
          <w:tcPr>
            <w:tcW w:w="2773" w:type="dxa"/>
            <w:noWrap w:val="0"/>
            <w:vAlign w:val="center"/>
          </w:tcPr>
          <w:p>
            <w:pPr>
              <w:jc w:val="both"/>
              <w:rPr>
                <w:rFonts w:hint="default" w:ascii="Times New Roman" w:hAnsi="Times New Roman" w:eastAsia="仿宋_GB2312" w:cs="Times New Roman"/>
                <w:bCs/>
                <w:color w:val="auto"/>
                <w:sz w:val="24"/>
                <w:szCs w:val="24"/>
                <w:highlight w:val="none"/>
              </w:rPr>
            </w:pPr>
          </w:p>
        </w:tc>
        <w:tc>
          <w:tcPr>
            <w:tcW w:w="2854" w:type="dxa"/>
            <w:noWrap w:val="0"/>
            <w:vAlign w:val="center"/>
          </w:tcPr>
          <w:p>
            <w:pPr>
              <w:jc w:val="both"/>
              <w:rPr>
                <w:rFonts w:hint="default" w:ascii="Times New Roman" w:hAnsi="Times New Roman" w:eastAsia="仿宋_GB2312"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法人股</w:t>
            </w:r>
          </w:p>
        </w:tc>
        <w:tc>
          <w:tcPr>
            <w:tcW w:w="2773" w:type="dxa"/>
            <w:noWrap w:val="0"/>
            <w:vAlign w:val="center"/>
          </w:tcPr>
          <w:p>
            <w:pPr>
              <w:jc w:val="both"/>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10000</w:t>
            </w:r>
          </w:p>
        </w:tc>
        <w:tc>
          <w:tcPr>
            <w:tcW w:w="2854" w:type="dxa"/>
            <w:noWrap w:val="0"/>
            <w:vAlign w:val="center"/>
          </w:tcPr>
          <w:p>
            <w:pPr>
              <w:jc w:val="both"/>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100</w:t>
            </w:r>
            <w:r>
              <w:rPr>
                <w:rFonts w:hint="default" w:ascii="Times New Roman" w:hAnsi="Times New Roman" w:eastAsia="仿宋_GB2312" w:cs="Times New Roman"/>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68"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个人股</w:t>
            </w:r>
          </w:p>
        </w:tc>
        <w:tc>
          <w:tcPr>
            <w:tcW w:w="2773" w:type="dxa"/>
            <w:noWrap w:val="0"/>
            <w:vAlign w:val="center"/>
          </w:tcPr>
          <w:p>
            <w:pPr>
              <w:jc w:val="both"/>
              <w:rPr>
                <w:rFonts w:hint="default" w:ascii="Times New Roman" w:hAnsi="Times New Roman" w:eastAsia="仿宋_GB2312" w:cs="Times New Roman"/>
                <w:bCs/>
                <w:color w:val="auto"/>
                <w:sz w:val="24"/>
                <w:szCs w:val="24"/>
                <w:highlight w:val="none"/>
              </w:rPr>
            </w:pPr>
          </w:p>
        </w:tc>
        <w:tc>
          <w:tcPr>
            <w:tcW w:w="2854" w:type="dxa"/>
            <w:noWrap w:val="0"/>
            <w:vAlign w:val="center"/>
          </w:tcPr>
          <w:p>
            <w:pPr>
              <w:jc w:val="both"/>
              <w:rPr>
                <w:rFonts w:hint="default" w:ascii="Times New Roman" w:hAnsi="Times New Roman" w:eastAsia="仿宋_GB2312" w:cs="Times New Roman"/>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68" w:type="dxa"/>
            <w:noWrap w:val="0"/>
            <w:vAlign w:val="top"/>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股份总数</w:t>
            </w:r>
          </w:p>
        </w:tc>
        <w:tc>
          <w:tcPr>
            <w:tcW w:w="2773" w:type="dxa"/>
            <w:noWrap w:val="0"/>
            <w:vAlign w:val="center"/>
          </w:tcPr>
          <w:p>
            <w:pPr>
              <w:jc w:val="both"/>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10000</w:t>
            </w:r>
          </w:p>
        </w:tc>
        <w:tc>
          <w:tcPr>
            <w:tcW w:w="2854" w:type="dxa"/>
            <w:noWrap w:val="0"/>
            <w:vAlign w:val="center"/>
          </w:tcPr>
          <w:p>
            <w:pPr>
              <w:jc w:val="both"/>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100%</w:t>
            </w:r>
          </w:p>
        </w:tc>
      </w:tr>
    </w:tbl>
    <w:p>
      <w:pPr>
        <w:ind w:firstLine="352" w:firstLineChars="196"/>
        <w:jc w:val="both"/>
        <w:rPr>
          <w:rFonts w:hint="default" w:ascii="Times New Roman" w:hAnsi="Times New Roman" w:cs="Times New Roman"/>
          <w:color w:val="auto"/>
          <w:sz w:val="18"/>
          <w:szCs w:val="18"/>
          <w:highlight w:val="none"/>
        </w:rPr>
      </w:pPr>
    </w:p>
    <w:p>
      <w:pPr>
        <w:ind w:firstLine="602"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color w:val="auto"/>
          <w:sz w:val="30"/>
          <w:szCs w:val="30"/>
          <w:highlight w:val="none"/>
        </w:rPr>
        <w:t>5.3报告期十大股东持股表</w:t>
      </w:r>
    </w:p>
    <w:p>
      <w:pPr>
        <w:ind w:firstLine="7140" w:firstLineChars="340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单位:万股</w:t>
      </w:r>
    </w:p>
    <w:tbl>
      <w:tblPr>
        <w:tblStyle w:val="4"/>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5"/>
        <w:gridCol w:w="1153"/>
        <w:gridCol w:w="1199"/>
        <w:gridCol w:w="1362"/>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3205" w:type="dxa"/>
            <w:tcBorders>
              <w:bottom w:val="single" w:color="auto" w:sz="4" w:space="0"/>
            </w:tcBorders>
            <w:noWrap w:val="0"/>
            <w:vAlign w:val="center"/>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股东名称</w:t>
            </w:r>
          </w:p>
        </w:tc>
        <w:tc>
          <w:tcPr>
            <w:tcW w:w="1153" w:type="dxa"/>
            <w:noWrap w:val="0"/>
            <w:vAlign w:val="center"/>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eastAsia" w:eastAsia="仿宋_GB2312" w:cs="Times New Roman"/>
                <w:b/>
                <w:color w:val="auto"/>
                <w:sz w:val="24"/>
                <w:szCs w:val="24"/>
                <w:highlight w:val="none"/>
                <w:lang w:val="en-US" w:eastAsia="zh-CN"/>
              </w:rPr>
              <w:t>5</w:t>
            </w:r>
            <w:r>
              <w:rPr>
                <w:rFonts w:hint="default" w:ascii="Times New Roman" w:hAnsi="Times New Roman" w:eastAsia="仿宋_GB2312" w:cs="Times New Roman"/>
                <w:b/>
                <w:color w:val="auto"/>
                <w:sz w:val="24"/>
                <w:szCs w:val="24"/>
                <w:highlight w:val="none"/>
              </w:rPr>
              <w:t>年末</w:t>
            </w:r>
          </w:p>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持股数</w:t>
            </w:r>
          </w:p>
        </w:tc>
        <w:tc>
          <w:tcPr>
            <w:tcW w:w="1199" w:type="dxa"/>
            <w:noWrap w:val="0"/>
            <w:vAlign w:val="center"/>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占总股本</w:t>
            </w:r>
          </w:p>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比例</w:t>
            </w:r>
          </w:p>
        </w:tc>
        <w:tc>
          <w:tcPr>
            <w:tcW w:w="1362" w:type="dxa"/>
            <w:noWrap w:val="0"/>
            <w:vAlign w:val="center"/>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202</w:t>
            </w:r>
            <w:r>
              <w:rPr>
                <w:rFonts w:hint="eastAsia" w:eastAsia="仿宋_GB2312" w:cs="Times New Roman"/>
                <w:b/>
                <w:color w:val="auto"/>
                <w:sz w:val="24"/>
                <w:szCs w:val="24"/>
                <w:highlight w:val="none"/>
                <w:lang w:val="en-US" w:eastAsia="zh-CN"/>
              </w:rPr>
              <w:t>5</w:t>
            </w:r>
            <w:r>
              <w:rPr>
                <w:rFonts w:hint="default" w:ascii="Times New Roman" w:hAnsi="Times New Roman" w:eastAsia="仿宋_GB2312" w:cs="Times New Roman"/>
                <w:b/>
                <w:color w:val="auto"/>
                <w:sz w:val="24"/>
                <w:szCs w:val="24"/>
                <w:highlight w:val="none"/>
              </w:rPr>
              <w:t>年初</w:t>
            </w:r>
          </w:p>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持股数</w:t>
            </w:r>
          </w:p>
        </w:tc>
        <w:tc>
          <w:tcPr>
            <w:tcW w:w="1361" w:type="dxa"/>
            <w:noWrap w:val="0"/>
            <w:vAlign w:val="center"/>
          </w:tcPr>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占总股本</w:t>
            </w:r>
          </w:p>
          <w:p>
            <w:pPr>
              <w:jc w:val="both"/>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205" w:type="dxa"/>
            <w:noWrap w:val="0"/>
            <w:vAlign w:val="center"/>
          </w:tcPr>
          <w:p>
            <w:pPr>
              <w:widowControl/>
              <w:jc w:val="both"/>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浙江稠州商业银行股份有限公司</w:t>
            </w:r>
          </w:p>
        </w:tc>
        <w:tc>
          <w:tcPr>
            <w:tcW w:w="1153" w:type="dxa"/>
            <w:noWrap w:val="0"/>
            <w:vAlign w:val="center"/>
          </w:tcPr>
          <w:p>
            <w:pPr>
              <w:widowControl/>
              <w:jc w:val="both"/>
              <w:textAlignment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10000</w:t>
            </w:r>
          </w:p>
        </w:tc>
        <w:tc>
          <w:tcPr>
            <w:tcW w:w="1199" w:type="dxa"/>
            <w:noWrap w:val="0"/>
            <w:vAlign w:val="center"/>
          </w:tcPr>
          <w:p>
            <w:pPr>
              <w:widowControl/>
              <w:jc w:val="both"/>
              <w:textAlignment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100</w:t>
            </w:r>
            <w:r>
              <w:rPr>
                <w:rFonts w:hint="default" w:ascii="Times New Roman" w:hAnsi="Times New Roman" w:eastAsia="仿宋_GB2312" w:cs="Times New Roman"/>
                <w:bCs/>
                <w:color w:val="auto"/>
                <w:sz w:val="24"/>
                <w:szCs w:val="24"/>
                <w:highlight w:val="none"/>
              </w:rPr>
              <w:t>%</w:t>
            </w:r>
          </w:p>
        </w:tc>
        <w:tc>
          <w:tcPr>
            <w:tcW w:w="1362" w:type="dxa"/>
            <w:noWrap w:val="0"/>
            <w:vAlign w:val="center"/>
          </w:tcPr>
          <w:p>
            <w:pPr>
              <w:widowControl/>
              <w:jc w:val="both"/>
              <w:textAlignment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10000</w:t>
            </w:r>
          </w:p>
        </w:tc>
        <w:tc>
          <w:tcPr>
            <w:tcW w:w="1361" w:type="dxa"/>
            <w:noWrap w:val="0"/>
            <w:vAlign w:val="center"/>
          </w:tcPr>
          <w:p>
            <w:pPr>
              <w:widowControl/>
              <w:jc w:val="both"/>
              <w:textAlignment w:val="center"/>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bCs/>
                <w:color w:val="auto"/>
                <w:sz w:val="24"/>
                <w:szCs w:val="24"/>
                <w:highlight w:val="none"/>
                <w:lang w:val="en-US" w:eastAsia="zh-CN"/>
              </w:rPr>
              <w:t>100</w:t>
            </w:r>
            <w:r>
              <w:rPr>
                <w:rFonts w:hint="default" w:ascii="Times New Roman" w:hAnsi="Times New Roman" w:eastAsia="仿宋_GB2312" w:cs="Times New Roman"/>
                <w:bCs/>
                <w:color w:val="auto"/>
                <w:sz w:val="24"/>
                <w:szCs w:val="24"/>
                <w:highlight w:val="none"/>
              </w:rPr>
              <w:t>%</w:t>
            </w:r>
          </w:p>
        </w:tc>
      </w:tr>
    </w:tbl>
    <w:p>
      <w:pPr>
        <w:jc w:val="both"/>
        <w:rPr>
          <w:rFonts w:hint="default" w:ascii="Times New Roman" w:hAnsi="Times New Roman" w:cs="Times New Roman"/>
          <w:b/>
          <w:color w:val="auto"/>
          <w:szCs w:val="21"/>
          <w:highlight w:val="none"/>
        </w:rPr>
      </w:pPr>
    </w:p>
    <w:p>
      <w:pPr>
        <w:numPr>
          <w:ilvl w:val="0"/>
          <w:numId w:val="1"/>
        </w:numPr>
        <w:ind w:firstLine="602"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color w:val="auto"/>
          <w:sz w:val="30"/>
          <w:szCs w:val="30"/>
          <w:highlight w:val="none"/>
        </w:rPr>
        <w:t>董事、高级管理人员和员工情况</w:t>
      </w:r>
    </w:p>
    <w:p>
      <w:pPr>
        <w:numPr>
          <w:ilvl w:val="0"/>
          <w:numId w:val="0"/>
        </w:numPr>
        <w:ind w:firstLine="602"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color w:val="auto"/>
          <w:sz w:val="30"/>
          <w:szCs w:val="30"/>
          <w:highlight w:val="none"/>
          <w:lang w:val="en-US" w:eastAsia="zh-CN"/>
        </w:rPr>
        <w:t>6.1</w:t>
      </w:r>
      <w:r>
        <w:rPr>
          <w:rFonts w:hint="default" w:ascii="Times New Roman" w:hAnsi="Times New Roman" w:eastAsia="仿宋_GB2312" w:cs="Times New Roman"/>
          <w:b/>
          <w:color w:val="auto"/>
          <w:sz w:val="30"/>
          <w:szCs w:val="30"/>
          <w:highlight w:val="none"/>
        </w:rPr>
        <w:t>董事、高级管理人员情况</w:t>
      </w:r>
    </w:p>
    <w:tbl>
      <w:tblPr>
        <w:tblStyle w:val="4"/>
        <w:tblW w:w="8308"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753"/>
        <w:gridCol w:w="1318"/>
        <w:gridCol w:w="2230"/>
        <w:gridCol w:w="300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vMerge w:val="restart"/>
            <w:tcBorders>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姓名</w:t>
            </w:r>
          </w:p>
        </w:tc>
        <w:tc>
          <w:tcPr>
            <w:tcW w:w="1318" w:type="dxa"/>
            <w:vMerge w:val="restart"/>
            <w:tcBorders>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性别</w:t>
            </w:r>
          </w:p>
        </w:tc>
        <w:tc>
          <w:tcPr>
            <w:tcW w:w="2230" w:type="dxa"/>
            <w:vMerge w:val="restart"/>
            <w:tcBorders>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出生年月</w:t>
            </w:r>
          </w:p>
        </w:tc>
        <w:tc>
          <w:tcPr>
            <w:tcW w:w="3007" w:type="dxa"/>
            <w:vMerge w:val="restart"/>
            <w:tcBorders>
              <w:left w:val="single" w:color="auto" w:sz="4" w:space="0"/>
              <w:bottom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在公司职务</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33" w:hRule="atLeast"/>
          <w:jc w:val="center"/>
        </w:trPr>
        <w:tc>
          <w:tcPr>
            <w:tcW w:w="1753" w:type="dxa"/>
            <w:vMerge w:val="continue"/>
            <w:tcBorders>
              <w:top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p>
        </w:tc>
        <w:tc>
          <w:tcPr>
            <w:tcW w:w="131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p>
        </w:tc>
        <w:tc>
          <w:tcPr>
            <w:tcW w:w="22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p>
        </w:tc>
        <w:tc>
          <w:tcPr>
            <w:tcW w:w="3007" w:type="dxa"/>
            <w:vMerge w:val="continue"/>
            <w:tcBorders>
              <w:top w:val="single" w:color="auto" w:sz="4" w:space="0"/>
              <w:left w:val="single" w:color="auto" w:sz="4" w:space="0"/>
              <w:bottom w:val="single" w:color="auto" w:sz="4" w:space="0"/>
            </w:tcBorders>
            <w:noWrap w:val="0"/>
            <w:vAlign w:val="center"/>
          </w:tcPr>
          <w:p>
            <w:pPr>
              <w:widowControl/>
              <w:jc w:val="both"/>
              <w:rPr>
                <w:rFonts w:hint="default" w:ascii="Times New Roman" w:hAnsi="Times New Roman" w:eastAsia="仿宋_GB2312" w:cs="Times New Roman"/>
                <w:b/>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金庆洪</w:t>
            </w:r>
          </w:p>
        </w:tc>
        <w:tc>
          <w:tcPr>
            <w:tcW w:w="1318"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男</w:t>
            </w:r>
          </w:p>
        </w:tc>
        <w:tc>
          <w:tcPr>
            <w:tcW w:w="2230"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1966年1月</w:t>
            </w:r>
          </w:p>
        </w:tc>
        <w:tc>
          <w:tcPr>
            <w:tcW w:w="3007" w:type="dxa"/>
            <w:tcBorders>
              <w:top w:val="nil"/>
              <w:left w:val="nil"/>
              <w:bottom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董事长</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陈余娟</w:t>
            </w:r>
          </w:p>
        </w:tc>
        <w:tc>
          <w:tcPr>
            <w:tcW w:w="1318"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女</w:t>
            </w:r>
          </w:p>
        </w:tc>
        <w:tc>
          <w:tcPr>
            <w:tcW w:w="2230"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1980年8月</w:t>
            </w:r>
          </w:p>
        </w:tc>
        <w:tc>
          <w:tcPr>
            <w:tcW w:w="3007" w:type="dxa"/>
            <w:tcBorders>
              <w:top w:val="nil"/>
              <w:left w:val="nil"/>
              <w:bottom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lang w:val="en-US" w:eastAsia="zh-CN"/>
              </w:rPr>
              <w:t>董事、</w:t>
            </w:r>
            <w:r>
              <w:rPr>
                <w:rFonts w:hint="default" w:ascii="Times New Roman" w:hAnsi="Times New Roman" w:eastAsia="仿宋_GB2312" w:cs="Times New Roman"/>
                <w:color w:val="auto"/>
                <w:kern w:val="0"/>
                <w:sz w:val="24"/>
                <w:szCs w:val="24"/>
                <w:highlight w:val="none"/>
              </w:rPr>
              <w:t>行长</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ind w:firstLine="480" w:firstLineChars="20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邓兰平</w:t>
            </w:r>
          </w:p>
        </w:tc>
        <w:tc>
          <w:tcPr>
            <w:tcW w:w="1318"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男</w:t>
            </w:r>
          </w:p>
        </w:tc>
        <w:tc>
          <w:tcPr>
            <w:tcW w:w="2230"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eastAsia" w:ascii="Times New Roman" w:hAnsi="Times New Roman" w:eastAsia="仿宋_GB2312" w:cs="Times New Roman"/>
                <w:color w:val="auto"/>
                <w:kern w:val="0"/>
                <w:sz w:val="24"/>
                <w:szCs w:val="24"/>
                <w:highlight w:val="none"/>
                <w:lang w:val="en-US" w:eastAsia="zh-CN"/>
              </w:rPr>
              <w:t>1974年9月</w:t>
            </w:r>
          </w:p>
        </w:tc>
        <w:tc>
          <w:tcPr>
            <w:tcW w:w="3007" w:type="dxa"/>
            <w:tcBorders>
              <w:top w:val="nil"/>
              <w:left w:val="nil"/>
              <w:bottom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董事、副行长</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ind w:firstLine="480" w:firstLineChars="200"/>
              <w:jc w:val="both"/>
              <w:rPr>
                <w:rFonts w:hint="default" w:ascii="Times New Roman" w:hAnsi="Times New Roman" w:eastAsia="仿宋_GB2312" w:cs="Times New Roman"/>
                <w:color w:val="auto"/>
                <w:kern w:val="0"/>
                <w:sz w:val="24"/>
                <w:szCs w:val="24"/>
                <w:highlight w:val="none"/>
                <w:lang w:val="en-US" w:eastAsia="zh-CN"/>
              </w:rPr>
            </w:pPr>
            <w:r>
              <w:rPr>
                <w:rFonts w:hint="eastAsia" w:eastAsia="仿宋_GB2312" w:cs="Times New Roman"/>
                <w:color w:val="auto"/>
                <w:kern w:val="0"/>
                <w:sz w:val="24"/>
                <w:szCs w:val="24"/>
                <w:highlight w:val="none"/>
                <w:lang w:val="en-US" w:eastAsia="zh-CN"/>
              </w:rPr>
              <w:t>朱毅</w:t>
            </w:r>
          </w:p>
        </w:tc>
        <w:tc>
          <w:tcPr>
            <w:tcW w:w="1318"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男</w:t>
            </w:r>
          </w:p>
        </w:tc>
        <w:tc>
          <w:tcPr>
            <w:tcW w:w="2230"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19</w:t>
            </w:r>
            <w:r>
              <w:rPr>
                <w:rFonts w:hint="eastAsia" w:eastAsia="仿宋_GB2312" w:cs="Times New Roman"/>
                <w:color w:val="auto"/>
                <w:kern w:val="0"/>
                <w:sz w:val="24"/>
                <w:szCs w:val="24"/>
                <w:highlight w:val="none"/>
                <w:lang w:val="en-US" w:eastAsia="zh-CN"/>
              </w:rPr>
              <w:t>69年12月</w:t>
            </w:r>
          </w:p>
        </w:tc>
        <w:tc>
          <w:tcPr>
            <w:tcW w:w="3007" w:type="dxa"/>
            <w:tcBorders>
              <w:top w:val="nil"/>
              <w:left w:val="nil"/>
              <w:bottom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董事</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88" w:hRule="atLeast"/>
          <w:jc w:val="center"/>
        </w:trPr>
        <w:tc>
          <w:tcPr>
            <w:tcW w:w="1753" w:type="dxa"/>
            <w:tcBorders>
              <w:top w:val="nil"/>
              <w:bottom w:val="single" w:color="auto" w:sz="4" w:space="0"/>
              <w:right w:val="single" w:color="auto" w:sz="4" w:space="0"/>
            </w:tcBorders>
            <w:noWrap w:val="0"/>
            <w:vAlign w:val="center"/>
          </w:tcPr>
          <w:p>
            <w:pPr>
              <w:widowControl/>
              <w:ind w:firstLine="480" w:firstLineChars="200"/>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胡天进</w:t>
            </w:r>
          </w:p>
        </w:tc>
        <w:tc>
          <w:tcPr>
            <w:tcW w:w="1318"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男</w:t>
            </w:r>
          </w:p>
        </w:tc>
        <w:tc>
          <w:tcPr>
            <w:tcW w:w="2230" w:type="dxa"/>
            <w:tcBorders>
              <w:top w:val="nil"/>
              <w:left w:val="nil"/>
              <w:bottom w:val="single" w:color="auto" w:sz="4" w:space="0"/>
              <w:right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1985年4月</w:t>
            </w:r>
          </w:p>
        </w:tc>
        <w:tc>
          <w:tcPr>
            <w:tcW w:w="3007" w:type="dxa"/>
            <w:tcBorders>
              <w:top w:val="nil"/>
              <w:left w:val="nil"/>
              <w:bottom w:val="single" w:color="auto" w:sz="4" w:space="0"/>
            </w:tcBorders>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董事</w:t>
            </w:r>
          </w:p>
        </w:tc>
      </w:tr>
    </w:tbl>
    <w:p>
      <w:pPr>
        <w:keepNext w:val="0"/>
        <w:keepLines w:val="0"/>
        <w:pageBreakBefore w:val="0"/>
        <w:widowControl w:val="0"/>
        <w:numPr>
          <w:ilvl w:val="0"/>
          <w:numId w:val="0"/>
        </w:numPr>
        <w:kinsoku/>
        <w:wordWrap/>
        <w:overflowPunct/>
        <w:topLinePunct w:val="0"/>
        <w:autoSpaceDE/>
        <w:autoSpaceDN/>
        <w:bidi w:val="0"/>
        <w:spacing w:line="560" w:lineRule="exact"/>
        <w:ind w:firstLine="602" w:firstLineChars="200"/>
        <w:jc w:val="both"/>
        <w:textAlignment w:val="auto"/>
        <w:rPr>
          <w:rFonts w:hint="default" w:ascii="仿宋_GB2312" w:hAnsi="仿宋_GB2312" w:eastAsia="仿宋_GB2312" w:cs="仿宋_GB2312"/>
          <w:b/>
          <w:color w:val="auto"/>
          <w:sz w:val="30"/>
          <w:szCs w:val="30"/>
          <w:highlight w:val="none"/>
          <w:lang w:val="en-US" w:eastAsia="zh-CN"/>
        </w:rPr>
      </w:pPr>
      <w:r>
        <w:rPr>
          <w:rFonts w:hint="default" w:ascii="Times New Roman" w:hAnsi="Times New Roman" w:eastAsia="仿宋_GB2312" w:cs="Times New Roman"/>
          <w:b/>
          <w:color w:val="auto"/>
          <w:sz w:val="30"/>
          <w:szCs w:val="30"/>
          <w:highlight w:val="none"/>
          <w:lang w:val="en-US" w:eastAsia="zh-CN"/>
        </w:rPr>
        <w:t>6.2董事、高级管理人员</w:t>
      </w:r>
      <w:r>
        <w:rPr>
          <w:rFonts w:hint="default" w:ascii="仿宋_GB2312" w:hAnsi="仿宋_GB2312" w:eastAsia="仿宋_GB2312" w:cs="仿宋_GB2312"/>
          <w:b/>
          <w:color w:val="auto"/>
          <w:sz w:val="30"/>
          <w:szCs w:val="30"/>
          <w:highlight w:val="none"/>
          <w:lang w:val="en-US" w:eastAsia="zh-CN"/>
        </w:rPr>
        <w:t>的主要工作经历</w:t>
      </w:r>
    </w:p>
    <w:p>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both"/>
        <w:textAlignment w:val="auto"/>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bCs/>
          <w:color w:val="auto"/>
          <w:sz w:val="28"/>
          <w:szCs w:val="28"/>
          <w:highlight w:val="none"/>
        </w:rPr>
        <w:t>（一）董事</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Times New Roman" w:hAnsi="Times New Roman" w:eastAsia="仿宋_GB2312" w:cs="Times New Roman"/>
          <w:b w:val="0"/>
          <w:bCs w:val="0"/>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lang w:val="en-US" w:eastAsia="zh-CN"/>
        </w:rPr>
        <w:t>金庆洪</w:t>
      </w:r>
      <w:r>
        <w:rPr>
          <w:rFonts w:hint="default" w:ascii="Times New Roman" w:hAnsi="Times New Roman" w:eastAsia="仿宋_GB2312" w:cs="Times New Roman"/>
          <w:bCs/>
          <w:color w:val="auto"/>
          <w:sz w:val="30"/>
          <w:szCs w:val="30"/>
          <w:highlight w:val="none"/>
        </w:rPr>
        <w:t>：</w:t>
      </w:r>
      <w:r>
        <w:rPr>
          <w:rFonts w:hint="default" w:ascii="Times New Roman" w:hAnsi="Times New Roman" w:eastAsia="仿宋_GB2312" w:cs="Times New Roman"/>
          <w:b w:val="0"/>
          <w:bCs w:val="0"/>
          <w:color w:val="auto"/>
          <w:sz w:val="30"/>
          <w:szCs w:val="30"/>
          <w:highlight w:val="none"/>
          <w:lang w:val="en-US" w:eastAsia="zh-CN"/>
        </w:rPr>
        <w:t>金庆洪：男，1966年01月生，中共党员，大学本科学历。</w:t>
      </w:r>
      <w:r>
        <w:rPr>
          <w:rFonts w:hint="eastAsia" w:ascii="Times New Roman" w:hAnsi="Times New Roman" w:eastAsia="仿宋_GB2312" w:cs="Times New Roman"/>
          <w:b w:val="0"/>
          <w:bCs w:val="0"/>
          <w:color w:val="auto"/>
          <w:sz w:val="30"/>
          <w:szCs w:val="30"/>
          <w:highlight w:val="none"/>
          <w:lang w:val="zh-CN" w:eastAsia="zh-CN"/>
        </w:rPr>
        <w:t>从事金融工作</w:t>
      </w:r>
      <w:r>
        <w:rPr>
          <w:rFonts w:hint="eastAsia" w:ascii="Times New Roman" w:hAnsi="Times New Roman" w:eastAsia="仿宋_GB2312" w:cs="Times New Roman"/>
          <w:b w:val="0"/>
          <w:bCs w:val="0"/>
          <w:color w:val="auto"/>
          <w:sz w:val="30"/>
          <w:szCs w:val="30"/>
          <w:highlight w:val="none"/>
          <w:lang w:val="en-US" w:eastAsia="zh-CN"/>
        </w:rPr>
        <w:t>2</w:t>
      </w:r>
      <w:r>
        <w:rPr>
          <w:rFonts w:hint="eastAsia" w:eastAsia="仿宋_GB2312" w:cs="Times New Roman"/>
          <w:b w:val="0"/>
          <w:bCs w:val="0"/>
          <w:color w:val="auto"/>
          <w:sz w:val="30"/>
          <w:szCs w:val="30"/>
          <w:highlight w:val="none"/>
          <w:lang w:val="en-US" w:eastAsia="zh-CN"/>
        </w:rPr>
        <w:t>8</w:t>
      </w:r>
      <w:r>
        <w:rPr>
          <w:rFonts w:hint="eastAsia" w:ascii="Times New Roman" w:hAnsi="Times New Roman" w:eastAsia="仿宋_GB2312" w:cs="Times New Roman"/>
          <w:b w:val="0"/>
          <w:bCs w:val="0"/>
          <w:color w:val="auto"/>
          <w:sz w:val="30"/>
          <w:szCs w:val="30"/>
          <w:highlight w:val="none"/>
          <w:lang w:val="zh-CN" w:eastAsia="zh-CN"/>
        </w:rPr>
        <w:t xml:space="preserve">年， </w:t>
      </w:r>
      <w:r>
        <w:rPr>
          <w:rFonts w:hint="eastAsia" w:ascii="Times New Roman" w:hAnsi="Times New Roman" w:eastAsia="仿宋_GB2312" w:cs="Times New Roman"/>
          <w:b w:val="0"/>
          <w:bCs w:val="0"/>
          <w:color w:val="auto"/>
          <w:sz w:val="30"/>
          <w:szCs w:val="30"/>
          <w:highlight w:val="none"/>
          <w:lang w:val="en-US" w:eastAsia="zh-CN"/>
        </w:rPr>
        <w:t>曾任兰溪市岩山中学任</w:t>
      </w:r>
      <w:r>
        <w:rPr>
          <w:rFonts w:hint="eastAsia" w:ascii="Times New Roman" w:hAnsi="Times New Roman" w:eastAsia="仿宋_GB2312" w:cs="Times New Roman"/>
          <w:b w:val="0"/>
          <w:bCs w:val="0"/>
          <w:color w:val="auto"/>
          <w:sz w:val="30"/>
          <w:szCs w:val="30"/>
          <w:highlight w:val="none"/>
          <w:lang w:val="zh-CN" w:eastAsia="zh-CN"/>
        </w:rPr>
        <w:t>数学老师</w:t>
      </w:r>
      <w:r>
        <w:rPr>
          <w:rFonts w:hint="eastAsia" w:ascii="Times New Roman" w:hAnsi="Times New Roman"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lang w:val="zh-CN" w:eastAsia="zh-CN"/>
        </w:rPr>
        <w:t>兰溪市第一中学任数学老师；</w:t>
      </w:r>
      <w:r>
        <w:rPr>
          <w:rFonts w:hint="eastAsia" w:ascii="Times New Roman" w:hAnsi="Times New Roman" w:eastAsia="仿宋_GB2312" w:cs="Times New Roman"/>
          <w:b w:val="0"/>
          <w:bCs w:val="0"/>
          <w:color w:val="auto"/>
          <w:sz w:val="30"/>
          <w:szCs w:val="30"/>
          <w:highlight w:val="none"/>
          <w:lang w:val="en-US" w:eastAsia="zh-CN"/>
        </w:rPr>
        <w:t>建行兰溪市支行先后任柜员、客户经理、延中分理处副主任（主持工作）、客户业务部副总经理、延中分理处主任、个人金融部总经理、延中支行行长；浙江兰溪越商村镇银行任副行长；浙江稠州商业银行金华分行先后从事兰溪支行副行长、行长、磐安支行行长；兰溪支行行长；现任重庆北碚稠州村镇银行担任党支部书记兼董事长。</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陈余娟</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val="en-US" w:eastAsia="zh-CN"/>
        </w:rPr>
        <w:t>女</w:t>
      </w:r>
      <w:r>
        <w:rPr>
          <w:rFonts w:hint="default" w:ascii="Times New Roman" w:hAnsi="Times New Roman" w:eastAsia="仿宋_GB2312" w:cs="Times New Roman"/>
          <w:color w:val="auto"/>
          <w:sz w:val="30"/>
          <w:szCs w:val="30"/>
          <w:highlight w:val="none"/>
        </w:rPr>
        <w:t>，19</w:t>
      </w:r>
      <w:r>
        <w:rPr>
          <w:rFonts w:hint="default" w:ascii="Times New Roman" w:hAnsi="Times New Roman" w:eastAsia="仿宋_GB2312" w:cs="Times New Roman"/>
          <w:color w:val="auto"/>
          <w:sz w:val="30"/>
          <w:szCs w:val="30"/>
          <w:highlight w:val="none"/>
          <w:lang w:val="en-US" w:eastAsia="zh-CN"/>
        </w:rPr>
        <w:t>80</w:t>
      </w:r>
      <w:r>
        <w:rPr>
          <w:rFonts w:hint="default" w:ascii="Times New Roman" w:hAnsi="Times New Roman" w:eastAsia="仿宋_GB2312" w:cs="Times New Roman"/>
          <w:color w:val="auto"/>
          <w:sz w:val="30"/>
          <w:szCs w:val="30"/>
          <w:highlight w:val="none"/>
        </w:rPr>
        <w:t>年8月生，</w:t>
      </w:r>
      <w:r>
        <w:rPr>
          <w:rFonts w:hint="default" w:ascii="Times New Roman" w:hAnsi="Times New Roman" w:eastAsia="仿宋_GB2312" w:cs="Times New Roman"/>
          <w:color w:val="auto"/>
          <w:sz w:val="30"/>
          <w:szCs w:val="30"/>
          <w:highlight w:val="none"/>
          <w:lang w:val="en-US" w:eastAsia="zh-CN"/>
        </w:rPr>
        <w:t>群众</w:t>
      </w:r>
      <w:r>
        <w:rPr>
          <w:rFonts w:hint="default" w:ascii="Times New Roman" w:hAnsi="Times New Roman" w:eastAsia="仿宋_GB2312" w:cs="Times New Roman"/>
          <w:color w:val="auto"/>
          <w:sz w:val="30"/>
          <w:szCs w:val="30"/>
          <w:highlight w:val="none"/>
        </w:rPr>
        <w:t>，本科学历。从事金融工作</w:t>
      </w:r>
      <w:r>
        <w:rPr>
          <w:rFonts w:hint="default" w:ascii="Times New Roman" w:hAnsi="Times New Roman" w:eastAsia="仿宋_GB2312" w:cs="Times New Roman"/>
          <w:color w:val="auto"/>
          <w:sz w:val="30"/>
          <w:szCs w:val="30"/>
          <w:highlight w:val="none"/>
          <w:lang w:val="en-US" w:eastAsia="zh-CN"/>
        </w:rPr>
        <w:t>2</w:t>
      </w:r>
      <w:r>
        <w:rPr>
          <w:rFonts w:hint="eastAsia"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rPr>
        <w:t>年，曾任</w:t>
      </w:r>
      <w:r>
        <w:rPr>
          <w:rFonts w:hint="default" w:ascii="Times New Roman" w:hAnsi="Times New Roman" w:eastAsia="仿宋_GB2312" w:cs="Times New Roman"/>
          <w:color w:val="auto"/>
          <w:sz w:val="30"/>
          <w:szCs w:val="30"/>
          <w:highlight w:val="none"/>
          <w:lang w:val="en-US" w:eastAsia="zh-CN"/>
        </w:rPr>
        <w:t>重庆农村商业银行忠县支行出纳、柜员、分理处主任，重庆忠县稠州村镇银行总经理、行长助理、副行长。现任重庆北碚稠州村镇银行董事、行长、</w:t>
      </w:r>
      <w:r>
        <w:rPr>
          <w:rFonts w:hint="default" w:ascii="Times New Roman" w:hAnsi="Times New Roman" w:eastAsia="仿宋_GB2312" w:cs="Times New Roman"/>
          <w:bCs/>
          <w:color w:val="auto"/>
          <w:sz w:val="30"/>
          <w:szCs w:val="30"/>
          <w:highlight w:val="none"/>
          <w:lang w:val="en-US" w:eastAsia="zh-CN"/>
        </w:rPr>
        <w:t>工会主席</w:t>
      </w:r>
      <w:r>
        <w:rPr>
          <w:rFonts w:hint="default" w:ascii="Times New Roman" w:hAnsi="Times New Roman" w:eastAsia="仿宋_GB2312" w:cs="Times New Roman"/>
          <w:color w:val="auto"/>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lang w:val="en-US" w:eastAsia="zh-CN"/>
        </w:rPr>
        <w:t>邓兰平</w:t>
      </w:r>
      <w:r>
        <w:rPr>
          <w:rFonts w:hint="default" w:ascii="Times New Roman" w:hAnsi="Times New Roman" w:eastAsia="仿宋_GB2312" w:cs="Times New Roman"/>
          <w:color w:val="auto"/>
          <w:sz w:val="30"/>
          <w:szCs w:val="30"/>
          <w:highlight w:val="none"/>
        </w:rPr>
        <w:t>：男，197</w:t>
      </w:r>
      <w:r>
        <w:rPr>
          <w:rFonts w:hint="default"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rPr>
        <w:t>年</w:t>
      </w:r>
      <w:r>
        <w:rPr>
          <w:rFonts w:hint="default" w:ascii="Times New Roman" w:hAnsi="Times New Roman" w:eastAsia="仿宋_GB2312" w:cs="Times New Roman"/>
          <w:color w:val="auto"/>
          <w:sz w:val="30"/>
          <w:szCs w:val="30"/>
          <w:highlight w:val="none"/>
          <w:lang w:val="en-US" w:eastAsia="zh-CN"/>
        </w:rPr>
        <w:t>9</w:t>
      </w:r>
      <w:r>
        <w:rPr>
          <w:rFonts w:hint="default" w:ascii="Times New Roman" w:hAnsi="Times New Roman" w:eastAsia="仿宋_GB2312" w:cs="Times New Roman"/>
          <w:color w:val="auto"/>
          <w:sz w:val="30"/>
          <w:szCs w:val="30"/>
          <w:highlight w:val="none"/>
        </w:rPr>
        <w:t>月生，中共党员，</w:t>
      </w:r>
      <w:r>
        <w:rPr>
          <w:rFonts w:hint="default" w:ascii="Times New Roman" w:hAnsi="Times New Roman" w:eastAsia="仿宋_GB2312" w:cs="Times New Roman"/>
          <w:color w:val="auto"/>
          <w:sz w:val="30"/>
          <w:szCs w:val="30"/>
          <w:highlight w:val="none"/>
          <w:lang w:val="en-US" w:eastAsia="zh-CN"/>
        </w:rPr>
        <w:t>本科</w:t>
      </w:r>
      <w:r>
        <w:rPr>
          <w:rFonts w:hint="default" w:ascii="Times New Roman" w:hAnsi="Times New Roman" w:eastAsia="仿宋_GB2312" w:cs="Times New Roman"/>
          <w:color w:val="auto"/>
          <w:sz w:val="30"/>
          <w:szCs w:val="30"/>
          <w:highlight w:val="none"/>
        </w:rPr>
        <w:t>学历。从事金融工作</w:t>
      </w:r>
      <w:r>
        <w:rPr>
          <w:rFonts w:hint="default" w:ascii="Times New Roman" w:hAnsi="Times New Roman" w:eastAsia="仿宋_GB2312" w:cs="Times New Roman"/>
          <w:color w:val="auto"/>
          <w:sz w:val="30"/>
          <w:szCs w:val="30"/>
          <w:highlight w:val="none"/>
          <w:lang w:val="en-US" w:eastAsia="zh-CN"/>
        </w:rPr>
        <w:t>3</w:t>
      </w:r>
      <w:r>
        <w:rPr>
          <w:rFonts w:hint="eastAsia" w:eastAsia="仿宋_GB2312" w:cs="Times New Roman"/>
          <w:color w:val="auto"/>
          <w:sz w:val="30"/>
          <w:szCs w:val="30"/>
          <w:highlight w:val="none"/>
          <w:lang w:val="en-US" w:eastAsia="zh-CN"/>
        </w:rPr>
        <w:t>0</w:t>
      </w:r>
      <w:r>
        <w:rPr>
          <w:rFonts w:hint="default" w:ascii="Times New Roman" w:hAnsi="Times New Roman" w:eastAsia="仿宋_GB2312" w:cs="Times New Roman"/>
          <w:color w:val="auto"/>
          <w:sz w:val="30"/>
          <w:szCs w:val="30"/>
          <w:highlight w:val="none"/>
        </w:rPr>
        <w:t>年，曾任</w:t>
      </w:r>
      <w:r>
        <w:rPr>
          <w:rFonts w:hint="default" w:ascii="Times New Roman" w:hAnsi="Times New Roman" w:eastAsia="仿宋_GB2312" w:cs="Times New Roman"/>
          <w:color w:val="auto"/>
          <w:sz w:val="30"/>
          <w:szCs w:val="30"/>
          <w:highlight w:val="none"/>
          <w:lang w:val="en-US" w:eastAsia="zh-CN"/>
        </w:rPr>
        <w:t>重庆农村商业银行城口支行分理处主任，中银富登村镇银行董事、行长、副行长、风险部主管。现任重庆北碚稠州村镇银行董事、副行长</w:t>
      </w:r>
      <w:r>
        <w:rPr>
          <w:rFonts w:hint="default" w:ascii="Times New Roman" w:hAnsi="Times New Roman" w:eastAsia="仿宋_GB2312" w:cs="Times New Roman"/>
          <w:color w:val="auto"/>
          <w:sz w:val="30"/>
          <w:szCs w:val="30"/>
          <w:highlight w:val="none"/>
        </w:rPr>
        <w:t>。</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eastAsia" w:eastAsia="仿宋_GB2312" w:cs="Times New Roman"/>
          <w:color w:val="auto"/>
          <w:sz w:val="30"/>
          <w:szCs w:val="30"/>
          <w:highlight w:val="none"/>
          <w:lang w:val="en-US" w:eastAsia="zh-CN"/>
        </w:rPr>
        <w:t>朱毅：</w:t>
      </w:r>
      <w:r>
        <w:rPr>
          <w:rFonts w:hint="default" w:ascii="Times New Roman" w:hAnsi="Times New Roman" w:eastAsia="仿宋_GB2312" w:cs="Times New Roman"/>
          <w:color w:val="auto"/>
          <w:sz w:val="30"/>
          <w:szCs w:val="30"/>
          <w:highlight w:val="none"/>
          <w:lang w:val="en-US" w:eastAsia="zh-CN"/>
        </w:rPr>
        <w:t>男</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kern w:val="2"/>
          <w:sz w:val="30"/>
          <w:szCs w:val="30"/>
          <w:highlight w:val="none"/>
          <w:lang w:val="en-US" w:eastAsia="zh-CN" w:bidi="ar-SA"/>
        </w:rPr>
        <w:t>1969年12月出生</w:t>
      </w:r>
      <w:r>
        <w:rPr>
          <w:rFonts w:hint="default"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en-US" w:eastAsia="zh-CN"/>
        </w:rPr>
        <w:t>中共党员，</w:t>
      </w:r>
      <w:r>
        <w:rPr>
          <w:rFonts w:hint="default" w:ascii="Times New Roman" w:hAnsi="Times New Roman" w:eastAsia="仿宋_GB2312" w:cs="Times New Roman"/>
          <w:color w:val="auto"/>
          <w:kern w:val="2"/>
          <w:sz w:val="30"/>
          <w:szCs w:val="30"/>
          <w:highlight w:val="none"/>
          <w:lang w:val="en-US" w:eastAsia="zh-CN" w:bidi="ar-SA"/>
        </w:rPr>
        <w:t>硕士研究生学历</w:t>
      </w:r>
      <w:r>
        <w:rPr>
          <w:rFonts w:hint="default" w:ascii="Times New Roman" w:hAnsi="Times New Roman" w:eastAsia="仿宋_GB2312" w:cs="Times New Roman"/>
          <w:color w:val="auto"/>
          <w:sz w:val="30"/>
          <w:szCs w:val="30"/>
          <w:highlight w:val="none"/>
          <w:lang w:val="en-US" w:eastAsia="zh-CN"/>
        </w:rPr>
        <w:t>，金融从业年限3</w:t>
      </w:r>
      <w:r>
        <w:rPr>
          <w:rFonts w:hint="eastAsia" w:ascii="Times New Roman" w:hAnsi="Times New Roman" w:eastAsia="仿宋_GB2312" w:cs="Times New Roman"/>
          <w:color w:val="auto"/>
          <w:sz w:val="30"/>
          <w:szCs w:val="30"/>
          <w:highlight w:val="none"/>
          <w:lang w:val="en-US" w:eastAsia="zh-CN"/>
        </w:rPr>
        <w:t>7</w:t>
      </w:r>
      <w:r>
        <w:rPr>
          <w:rFonts w:hint="default" w:ascii="Times New Roman" w:hAnsi="Times New Roman" w:eastAsia="仿宋_GB2312" w:cs="Times New Roman"/>
          <w:color w:val="auto"/>
          <w:sz w:val="30"/>
          <w:szCs w:val="30"/>
          <w:highlight w:val="none"/>
          <w:lang w:val="en-US" w:eastAsia="zh-CN"/>
        </w:rPr>
        <w:t>年。</w:t>
      </w:r>
      <w:r>
        <w:rPr>
          <w:rFonts w:hint="default" w:ascii="Times New Roman" w:hAnsi="Times New Roman" w:eastAsia="仿宋_GB2312" w:cs="Times New Roman"/>
          <w:color w:val="auto"/>
          <w:kern w:val="2"/>
          <w:sz w:val="30"/>
          <w:szCs w:val="30"/>
          <w:highlight w:val="none"/>
          <w:lang w:val="en-US" w:eastAsia="zh-CN" w:bidi="ar-SA"/>
        </w:rPr>
        <w:t>曾任金华中行储蓄、信贷科信贷员、风险管理部管理员</w:t>
      </w:r>
      <w:r>
        <w:rPr>
          <w:rFonts w:hint="eastAsia" w:eastAsia="仿宋_GB2312" w:cs="Times New Roman"/>
          <w:color w:val="auto"/>
          <w:kern w:val="2"/>
          <w:sz w:val="30"/>
          <w:szCs w:val="30"/>
          <w:highlight w:val="none"/>
          <w:lang w:val="en-US" w:eastAsia="zh-CN" w:bidi="ar-SA"/>
        </w:rPr>
        <w:t>、</w:t>
      </w:r>
      <w:r>
        <w:rPr>
          <w:rFonts w:hint="default" w:ascii="Times New Roman" w:hAnsi="Times New Roman" w:eastAsia="仿宋_GB2312" w:cs="Times New Roman"/>
          <w:color w:val="auto"/>
          <w:kern w:val="2"/>
          <w:sz w:val="30"/>
          <w:szCs w:val="30"/>
          <w:highlight w:val="none"/>
          <w:lang w:val="en-US" w:eastAsia="zh-CN" w:bidi="ar-SA"/>
        </w:rPr>
        <w:t>开发区中行担任管理部科长、发展部科长，兴业银行义乌支行担任客户经理、义乌市稠州城市信用社信贷管理部担任副主任、办公室主任、经理、浙江稠州城市信用社董事会办公室担任风险管理委员会副主任，浙江稠州商业银行担任董事会</w:t>
      </w:r>
      <w:r>
        <w:rPr>
          <w:rFonts w:hint="default" w:ascii="Times New Roman" w:hAnsi="Times New Roman" w:eastAsia="仿宋_GB2312" w:cs="Times New Roman"/>
          <w:color w:val="auto"/>
          <w:sz w:val="30"/>
          <w:szCs w:val="30"/>
          <w:highlight w:val="none"/>
        </w:rPr>
        <w:t>风险及关联交易控制委员会副主任</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义乌管理部风险总监</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风险管理部总经理</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杭州分行风险总监</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舟山分行筹备组组长</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总行资产保全部副总经理</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温州分行副行长</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金华分行公司银行部总经理</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营业部总经理</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lang w:val="en-US" w:eastAsia="zh-CN"/>
        </w:rPr>
        <w:t>现任浙江稠州商业银行金华分行</w:t>
      </w:r>
      <w:r>
        <w:rPr>
          <w:rFonts w:hint="default" w:ascii="Times New Roman" w:hAnsi="Times New Roman" w:eastAsia="仿宋_GB2312" w:cs="Times New Roman"/>
          <w:color w:val="auto"/>
          <w:sz w:val="30"/>
          <w:szCs w:val="30"/>
          <w:highlight w:val="none"/>
        </w:rPr>
        <w:t>法律合规部总经理</w:t>
      </w:r>
      <w:r>
        <w:rPr>
          <w:rFonts w:hint="eastAsia" w:eastAsia="仿宋_GB2312" w:cs="Times New Roman"/>
          <w:color w:val="auto"/>
          <w:sz w:val="30"/>
          <w:szCs w:val="30"/>
          <w:highlight w:val="none"/>
          <w:lang w:eastAsia="zh-CN"/>
        </w:rPr>
        <w:t>、</w:t>
      </w:r>
      <w:r>
        <w:rPr>
          <w:rFonts w:hint="eastAsia" w:eastAsia="仿宋_GB2312" w:cs="Times New Roman"/>
          <w:color w:val="auto"/>
          <w:sz w:val="30"/>
          <w:szCs w:val="30"/>
          <w:highlight w:val="none"/>
          <w:lang w:val="en-US" w:eastAsia="zh-CN"/>
        </w:rPr>
        <w:t>重庆北碚稠州村镇银行董事。</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胡天进</w:t>
      </w:r>
      <w:r>
        <w:rPr>
          <w:rFonts w:hint="default" w:ascii="Times New Roman" w:hAnsi="Times New Roman" w:eastAsia="仿宋_GB2312" w:cs="Times New Roman"/>
          <w:color w:val="auto"/>
          <w:sz w:val="30"/>
          <w:szCs w:val="30"/>
          <w:highlight w:val="none"/>
        </w:rPr>
        <w:t>：男，19</w:t>
      </w:r>
      <w:r>
        <w:rPr>
          <w:rFonts w:hint="default" w:ascii="Times New Roman" w:hAnsi="Times New Roman" w:eastAsia="仿宋_GB2312" w:cs="Times New Roman"/>
          <w:color w:val="auto"/>
          <w:sz w:val="30"/>
          <w:szCs w:val="30"/>
          <w:highlight w:val="none"/>
          <w:lang w:val="en-US" w:eastAsia="zh-CN"/>
        </w:rPr>
        <w:t>85</w:t>
      </w:r>
      <w:r>
        <w:rPr>
          <w:rFonts w:hint="default" w:ascii="Times New Roman" w:hAnsi="Times New Roman" w:eastAsia="仿宋_GB2312" w:cs="Times New Roman"/>
          <w:color w:val="auto"/>
          <w:sz w:val="30"/>
          <w:szCs w:val="30"/>
          <w:highlight w:val="none"/>
        </w:rPr>
        <w:t>年</w:t>
      </w:r>
      <w:r>
        <w:rPr>
          <w:rFonts w:hint="default"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rPr>
        <w:t>月生，</w:t>
      </w:r>
      <w:r>
        <w:rPr>
          <w:rFonts w:hint="default" w:ascii="Times New Roman" w:hAnsi="Times New Roman" w:eastAsia="仿宋_GB2312" w:cs="Times New Roman"/>
          <w:color w:val="auto"/>
          <w:sz w:val="30"/>
          <w:szCs w:val="30"/>
          <w:highlight w:val="none"/>
          <w:lang w:val="en-US" w:eastAsia="zh-CN"/>
        </w:rPr>
        <w:t>群众，本科</w:t>
      </w:r>
      <w:r>
        <w:rPr>
          <w:rFonts w:hint="default" w:ascii="Times New Roman" w:hAnsi="Times New Roman" w:eastAsia="仿宋_GB2312" w:cs="Times New Roman"/>
          <w:color w:val="auto"/>
          <w:sz w:val="30"/>
          <w:szCs w:val="30"/>
          <w:highlight w:val="none"/>
        </w:rPr>
        <w:t>学历</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lang w:val="en-US" w:eastAsia="zh-CN"/>
        </w:rPr>
        <w:t>从事金融工作1</w:t>
      </w:r>
      <w:r>
        <w:rPr>
          <w:rFonts w:hint="eastAsia"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lang w:val="en-US" w:eastAsia="zh-CN"/>
        </w:rPr>
        <w:t>年，曾任浙江稠州商业银行金华分行客户经理、副总经理（主持工作）、支行行长助理</w:t>
      </w:r>
      <w:r>
        <w:rPr>
          <w:rFonts w:hint="eastAsia" w:eastAsia="仿宋_GB2312" w:cs="Times New Roman"/>
          <w:color w:val="auto"/>
          <w:sz w:val="30"/>
          <w:szCs w:val="30"/>
          <w:highlight w:val="none"/>
          <w:lang w:val="en-US" w:eastAsia="zh-CN"/>
        </w:rPr>
        <w:t>、重庆北碚稠州村镇银行行长助理</w:t>
      </w:r>
      <w:r>
        <w:rPr>
          <w:rFonts w:hint="default" w:ascii="Times New Roman" w:hAnsi="Times New Roman" w:eastAsia="仿宋_GB2312" w:cs="Times New Roman"/>
          <w:color w:val="auto"/>
          <w:sz w:val="30"/>
          <w:szCs w:val="30"/>
          <w:highlight w:val="none"/>
          <w:lang w:val="en-US" w:eastAsia="zh-CN"/>
        </w:rPr>
        <w:t>。现任</w:t>
      </w:r>
      <w:r>
        <w:rPr>
          <w:rFonts w:hint="eastAsia" w:eastAsia="仿宋_GB2312" w:cs="Times New Roman"/>
          <w:color w:val="auto"/>
          <w:sz w:val="30"/>
          <w:szCs w:val="30"/>
          <w:highlight w:val="none"/>
          <w:lang w:val="en-US" w:eastAsia="zh-CN"/>
        </w:rPr>
        <w:t>金华分行磐安支行行长助理、</w:t>
      </w:r>
      <w:r>
        <w:rPr>
          <w:rFonts w:hint="default" w:ascii="Times New Roman" w:hAnsi="Times New Roman" w:eastAsia="仿宋_GB2312" w:cs="Times New Roman"/>
          <w:color w:val="auto"/>
          <w:sz w:val="30"/>
          <w:szCs w:val="30"/>
          <w:highlight w:val="none"/>
          <w:lang w:val="en-US" w:eastAsia="zh-CN"/>
        </w:rPr>
        <w:t>重庆北碚稠州村镇银行董事。</w:t>
      </w:r>
    </w:p>
    <w:p>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bCs/>
          <w:color w:val="auto"/>
          <w:sz w:val="28"/>
          <w:szCs w:val="28"/>
          <w:highlight w:val="none"/>
        </w:rPr>
        <w:t>（</w:t>
      </w:r>
      <w:r>
        <w:rPr>
          <w:rFonts w:hint="eastAsia" w:eastAsia="仿宋_GB2312" w:cs="Times New Roman"/>
          <w:b/>
          <w:bCs/>
          <w:color w:val="auto"/>
          <w:sz w:val="28"/>
          <w:szCs w:val="28"/>
          <w:highlight w:val="none"/>
          <w:lang w:val="en-US" w:eastAsia="zh-CN"/>
        </w:rPr>
        <w:t>二</w:t>
      </w:r>
      <w:r>
        <w:rPr>
          <w:rFonts w:hint="default" w:ascii="Times New Roman" w:hAnsi="Times New Roman" w:eastAsia="仿宋_GB2312" w:cs="Times New Roman"/>
          <w:b/>
          <w:bCs/>
          <w:color w:val="auto"/>
          <w:sz w:val="28"/>
          <w:szCs w:val="28"/>
          <w:highlight w:val="none"/>
        </w:rPr>
        <w:t>）高级管理人员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lang w:val="en-US" w:eastAsia="zh-CN"/>
        </w:rPr>
        <w:t>金庆洪</w:t>
      </w:r>
      <w:r>
        <w:rPr>
          <w:rFonts w:hint="default" w:ascii="Times New Roman" w:hAnsi="Times New Roman" w:eastAsia="仿宋_GB2312" w:cs="Times New Roman"/>
          <w:color w:val="auto"/>
          <w:sz w:val="30"/>
          <w:szCs w:val="30"/>
          <w:highlight w:val="none"/>
        </w:rPr>
        <w:t>：个人简历详见本行董事简历部分。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lang w:val="en-US" w:eastAsia="zh-CN"/>
        </w:rPr>
        <w:t>陈余娟</w:t>
      </w:r>
      <w:r>
        <w:rPr>
          <w:rFonts w:hint="default" w:ascii="Times New Roman" w:hAnsi="Times New Roman" w:eastAsia="仿宋_GB2312" w:cs="Times New Roman"/>
          <w:color w:val="auto"/>
          <w:sz w:val="30"/>
          <w:szCs w:val="30"/>
          <w:highlight w:val="none"/>
        </w:rPr>
        <w:t>：个人简历详见本行董事简历部分。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lang w:val="en-US" w:eastAsia="zh-CN"/>
        </w:rPr>
        <w:t>邓兰平：</w:t>
      </w:r>
      <w:r>
        <w:rPr>
          <w:rFonts w:hint="default" w:ascii="Times New Roman" w:hAnsi="Times New Roman" w:eastAsia="仿宋_GB2312" w:cs="Times New Roman"/>
          <w:color w:val="auto"/>
          <w:sz w:val="30"/>
          <w:szCs w:val="30"/>
          <w:highlight w:val="none"/>
        </w:rPr>
        <w:t>个人简历详见本行董事简历部分。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eastAsia" w:eastAsia="仿宋_GB2312" w:cs="Times New Roman"/>
          <w:color w:val="auto"/>
          <w:sz w:val="30"/>
          <w:szCs w:val="30"/>
          <w:highlight w:val="none"/>
          <w:lang w:val="en-US" w:eastAsia="zh-CN"/>
        </w:rPr>
        <w:t>李思岚：女，1990年1月出生，群众，本科学历。从事金融工作13年，曾任重庆北碚稠州村镇银行柜员、运营管理部财务统计岗、会计检辅、电子银行岗。现任重庆北碚稠州村镇银行运营管理部总经理助理（主持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刘智明：男，1987年8月出生，专科学历。从事金融工作</w:t>
      </w:r>
      <w:r>
        <w:rPr>
          <w:rFonts w:hint="eastAsia" w:eastAsia="仿宋_GB2312" w:cs="Times New Roman"/>
          <w:color w:val="auto"/>
          <w:sz w:val="30"/>
          <w:szCs w:val="30"/>
          <w:highlight w:val="none"/>
          <w:lang w:val="en-US" w:eastAsia="zh-CN"/>
        </w:rPr>
        <w:t>9</w:t>
      </w:r>
      <w:r>
        <w:rPr>
          <w:rFonts w:hint="eastAsia" w:ascii="Times New Roman" w:hAnsi="Times New Roman" w:eastAsia="仿宋_GB2312" w:cs="Times New Roman"/>
          <w:color w:val="auto"/>
          <w:sz w:val="30"/>
          <w:szCs w:val="30"/>
          <w:highlight w:val="none"/>
          <w:lang w:val="en-US" w:eastAsia="zh-CN"/>
        </w:rPr>
        <w:t>年，曾任浙江稠州商业银行金华分行客户经理，重庆北碚稠州村镇银行静观支行普惠金融部经理。现任重庆北碚稠州村镇银行营业部副总经理（主持工作）。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 xml:space="preserve"> 杨彬：男，1987年12月出生，中共党员，本科学历。从事金融工作1</w:t>
      </w:r>
      <w:r>
        <w:rPr>
          <w:rFonts w:hint="eastAsia" w:eastAsia="仿宋_GB2312" w:cs="Times New Roman"/>
          <w:color w:val="auto"/>
          <w:sz w:val="30"/>
          <w:szCs w:val="30"/>
          <w:highlight w:val="none"/>
          <w:lang w:val="en-US" w:eastAsia="zh-CN"/>
        </w:rPr>
        <w:t>5</w:t>
      </w:r>
      <w:r>
        <w:rPr>
          <w:rFonts w:hint="eastAsia" w:ascii="Times New Roman" w:hAnsi="Times New Roman" w:eastAsia="仿宋_GB2312" w:cs="Times New Roman"/>
          <w:color w:val="auto"/>
          <w:sz w:val="30"/>
          <w:szCs w:val="30"/>
          <w:highlight w:val="none"/>
          <w:lang w:val="en-US" w:eastAsia="zh-CN"/>
        </w:rPr>
        <w:t>年，曾任浙江稠州商业银行金华分行支行行长助理、副行长、小微金融部经理。现任重庆北碚稠州村镇银行蔡家支行行长。</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eastAsia" w:eastAsia="仿宋_GB2312" w:cs="Times New Roman"/>
          <w:color w:val="auto"/>
          <w:sz w:val="30"/>
          <w:szCs w:val="30"/>
          <w:highlight w:val="none"/>
          <w:lang w:val="en-US" w:eastAsia="zh-CN"/>
        </w:rPr>
        <w:t>夏攀：女，1983年11月出生，群众，本科学历，从事金融工作14年，曾任重庆渝北银座村镇银行副总经理、厦门银行客户经理、恒丰银行重庆分行团队长，现任重庆北碚稠州村镇银行朝阳支行支行行长。</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黄飞：男，1986年1月出生，专科学历。从事金融工作13年，曾任重庆农村商业银行职员，重庆忠县稠州村镇银行客户经理，重庆北碚稠州村镇银行普惠金融部经理、歇马支行行长。现任重庆北碚稠州村镇银行静观支行行长。</w:t>
      </w:r>
    </w:p>
    <w:p>
      <w:pPr>
        <w:keepNext w:val="0"/>
        <w:keepLines w:val="0"/>
        <w:pageBreakBefore w:val="0"/>
        <w:widowControl w:val="0"/>
        <w:numPr>
          <w:ilvl w:val="0"/>
          <w:numId w:val="0"/>
        </w:numPr>
        <w:kinsoku/>
        <w:wordWrap/>
        <w:overflowPunct/>
        <w:topLinePunct w:val="0"/>
        <w:autoSpaceDE/>
        <w:autoSpaceDN/>
        <w:bidi w:val="0"/>
        <w:spacing w:line="560" w:lineRule="exact"/>
        <w:ind w:firstLine="602" w:firstLineChars="200"/>
        <w:jc w:val="both"/>
        <w:textAlignment w:val="auto"/>
        <w:rPr>
          <w:rFonts w:hint="default" w:ascii="仿宋_GB2312" w:hAnsi="仿宋_GB2312" w:eastAsia="仿宋_GB2312" w:cs="仿宋_GB2312"/>
          <w:b/>
          <w:color w:val="auto"/>
          <w:sz w:val="30"/>
          <w:szCs w:val="30"/>
          <w:highlight w:val="none"/>
          <w:lang w:val="en-US" w:eastAsia="zh-CN"/>
        </w:rPr>
      </w:pPr>
      <w:r>
        <w:rPr>
          <w:rFonts w:hint="eastAsia" w:ascii="仿宋_GB2312" w:hAnsi="仿宋_GB2312" w:eastAsia="仿宋_GB2312" w:cs="仿宋_GB2312"/>
          <w:b/>
          <w:color w:val="auto"/>
          <w:sz w:val="30"/>
          <w:szCs w:val="30"/>
          <w:highlight w:val="none"/>
          <w:lang w:val="en-US" w:eastAsia="zh-CN"/>
        </w:rPr>
        <w:t>6.3</w:t>
      </w:r>
      <w:r>
        <w:rPr>
          <w:rFonts w:hint="default" w:ascii="仿宋_GB2312" w:hAnsi="仿宋_GB2312" w:eastAsia="仿宋_GB2312" w:cs="仿宋_GB2312"/>
          <w:b/>
          <w:color w:val="auto"/>
          <w:sz w:val="30"/>
          <w:szCs w:val="30"/>
          <w:highlight w:val="none"/>
          <w:lang w:val="en-US" w:eastAsia="zh-CN"/>
        </w:rPr>
        <w:t>薪酬管理情况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both"/>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（一）薪酬管理架构及决策程序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rPr>
        <w:t>本公司薪酬管理组织架构包括股东</w:t>
      </w:r>
      <w:r>
        <w:rPr>
          <w:rFonts w:hint="eastAsia" w:ascii="Times New Roman" w:hAnsi="Times New Roman" w:eastAsia="仿宋_GB2312" w:cs="Times New Roman"/>
          <w:color w:val="auto"/>
          <w:sz w:val="30"/>
          <w:szCs w:val="30"/>
          <w:highlight w:val="none"/>
          <w:lang w:eastAsia="zh-CN"/>
        </w:rPr>
        <w:t>（</w:t>
      </w:r>
      <w:r>
        <w:rPr>
          <w:rFonts w:hint="eastAsia" w:ascii="Times New Roman" w:hAnsi="Times New Roman" w:eastAsia="仿宋_GB2312" w:cs="Times New Roman"/>
          <w:color w:val="auto"/>
          <w:sz w:val="30"/>
          <w:szCs w:val="30"/>
          <w:highlight w:val="none"/>
          <w:lang w:val="en-US" w:eastAsia="zh-CN"/>
        </w:rPr>
        <w:t>100%发起行控股</w:t>
      </w:r>
      <w:r>
        <w:rPr>
          <w:rFonts w:hint="eastAsia" w:ascii="Times New Roman" w:hAnsi="Times New Roman" w:eastAsia="仿宋_GB2312" w:cs="Times New Roman"/>
          <w:color w:val="auto"/>
          <w:sz w:val="30"/>
          <w:szCs w:val="30"/>
          <w:highlight w:val="none"/>
          <w:lang w:eastAsia="zh-CN"/>
        </w:rPr>
        <w:t>）</w:t>
      </w:r>
      <w:r>
        <w:rPr>
          <w:rFonts w:hint="eastAsia" w:ascii="Times New Roman" w:hAnsi="Times New Roman" w:eastAsia="仿宋_GB2312" w:cs="Times New Roman"/>
          <w:color w:val="auto"/>
          <w:sz w:val="30"/>
          <w:szCs w:val="30"/>
          <w:highlight w:val="none"/>
        </w:rPr>
        <w:t>、董事会及高级管理层</w:t>
      </w:r>
      <w:r>
        <w:rPr>
          <w:rFonts w:hint="eastAsia" w:eastAsia="仿宋_GB2312" w:cs="Times New Roman"/>
          <w:color w:val="auto"/>
          <w:sz w:val="30"/>
          <w:szCs w:val="30"/>
          <w:highlight w:val="none"/>
          <w:lang w:val="en-US" w:eastAsia="zh-CN"/>
        </w:rPr>
        <w:t>三</w:t>
      </w:r>
      <w:r>
        <w:rPr>
          <w:rFonts w:hint="eastAsia" w:ascii="Times New Roman" w:hAnsi="Times New Roman" w:eastAsia="仿宋_GB2312" w:cs="Times New Roman"/>
          <w:color w:val="auto"/>
          <w:sz w:val="30"/>
          <w:szCs w:val="30"/>
          <w:highlight w:val="none"/>
        </w:rPr>
        <w:t>个层面。在决策程序方面，本公司董事的薪酬标准及薪酬制度由股东决定；董事会按照国家有关法律和政策规定，负责公司薪酬管理制度和相关政策的制订，并对高级管理人员按年度进行绩效考核，决定高级管理人员薪酬标准；</w:t>
      </w:r>
      <w:r>
        <w:rPr>
          <w:rFonts w:hint="eastAsia" w:eastAsia="仿宋_GB2312" w:cs="Times New Roman"/>
          <w:color w:val="auto"/>
          <w:sz w:val="30"/>
          <w:szCs w:val="30"/>
          <w:highlight w:val="none"/>
          <w:lang w:val="en-US" w:eastAsia="zh-CN"/>
        </w:rPr>
        <w:t>审计委员会</w:t>
      </w:r>
      <w:r>
        <w:rPr>
          <w:rFonts w:hint="eastAsia" w:ascii="Times New Roman" w:hAnsi="Times New Roman" w:eastAsia="仿宋_GB2312" w:cs="Times New Roman"/>
          <w:color w:val="auto"/>
          <w:sz w:val="30"/>
          <w:szCs w:val="30"/>
          <w:highlight w:val="none"/>
        </w:rPr>
        <w:t>负责监督董事和高级管理人员的履职情况考核，按年度进行考核评价，并将董事的考核结果向股东大会报告；高级管理层负责组织实施董事会薪酬管理方面的决议，并接受董事会管理和</w:t>
      </w:r>
      <w:r>
        <w:rPr>
          <w:rFonts w:hint="eastAsia" w:eastAsia="仿宋_GB2312" w:cs="Times New Roman"/>
          <w:color w:val="auto"/>
          <w:sz w:val="30"/>
          <w:szCs w:val="30"/>
          <w:highlight w:val="none"/>
          <w:lang w:val="en-US" w:eastAsia="zh-CN"/>
        </w:rPr>
        <w:t>审计委员</w:t>
      </w:r>
      <w:r>
        <w:rPr>
          <w:rFonts w:hint="eastAsia" w:ascii="Times New Roman" w:hAnsi="Times New Roman" w:eastAsia="仿宋_GB2312" w:cs="Times New Roman"/>
          <w:color w:val="auto"/>
          <w:sz w:val="30"/>
          <w:szCs w:val="30"/>
          <w:highlight w:val="none"/>
        </w:rPr>
        <w:t>会监督。董事会下设薪酬与考核委员会，具体负责制定本公司董事及高级管理人员的考核标准并进行考核；负责制定、审查董事及高级管理人员的薪酬政策与方案，对董事会负责。</w:t>
      </w:r>
    </w:p>
    <w:p>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jc w:val="both"/>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（二）薪酬总量和结构</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rPr>
        <w:t>本公司每年根据机构规模、经营业绩等情况制定年度薪酬预算方案，年度预算总额实行严格管控，因机构或人员编制新增的，按实追加相应薪酬费用。本公司薪酬包含基础薪酬、绩效薪酬、各项福利性收入，其中，基础薪酬和绩效薪酬占比严格按指引要求执行，绩效薪酬实行平时预发，年底考核后发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仿宋_GB2312" w:cs="Times New Roman"/>
          <w:b/>
          <w:color w:val="auto"/>
          <w:kern w:val="0"/>
          <w:sz w:val="28"/>
          <w:szCs w:val="28"/>
          <w:highlight w:val="none"/>
        </w:rPr>
      </w:pPr>
      <w:r>
        <w:rPr>
          <w:rFonts w:hint="eastAsia" w:ascii="Times New Roman" w:hAnsi="Times New Roman" w:eastAsia="仿宋_GB2312" w:cs="Times New Roman"/>
          <w:b/>
          <w:color w:val="auto"/>
          <w:kern w:val="0"/>
          <w:sz w:val="28"/>
          <w:szCs w:val="28"/>
          <w:highlight w:val="none"/>
          <w:lang w:eastAsia="zh-CN"/>
        </w:rPr>
        <w:t>（</w:t>
      </w:r>
      <w:r>
        <w:rPr>
          <w:rFonts w:hint="eastAsia" w:ascii="Times New Roman" w:hAnsi="Times New Roman" w:eastAsia="仿宋_GB2312" w:cs="Times New Roman"/>
          <w:b/>
          <w:color w:val="auto"/>
          <w:kern w:val="0"/>
          <w:sz w:val="28"/>
          <w:szCs w:val="28"/>
          <w:highlight w:val="none"/>
          <w:lang w:val="en-US" w:eastAsia="zh-CN"/>
        </w:rPr>
        <w:t>三</w:t>
      </w:r>
      <w:r>
        <w:rPr>
          <w:rFonts w:hint="eastAsia" w:ascii="Times New Roman" w:hAnsi="Times New Roman" w:eastAsia="仿宋_GB2312" w:cs="Times New Roman"/>
          <w:b/>
          <w:color w:val="auto"/>
          <w:kern w:val="0"/>
          <w:sz w:val="28"/>
          <w:szCs w:val="28"/>
          <w:highlight w:val="none"/>
          <w:lang w:eastAsia="zh-CN"/>
        </w:rPr>
        <w:t>）</w:t>
      </w:r>
      <w:r>
        <w:rPr>
          <w:rFonts w:hint="default" w:ascii="Times New Roman" w:hAnsi="Times New Roman" w:eastAsia="仿宋_GB2312" w:cs="Times New Roman"/>
          <w:b/>
          <w:color w:val="auto"/>
          <w:kern w:val="0"/>
          <w:sz w:val="28"/>
          <w:szCs w:val="28"/>
          <w:highlight w:val="none"/>
        </w:rPr>
        <w:t>董事会、高级管理层及重要岗位人员薪酬信息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在本公司领取薪酬的董事、高级管理人员及重要岗位管理人员共1</w:t>
      </w:r>
      <w:r>
        <w:rPr>
          <w:rFonts w:hint="eastAsia" w:eastAsia="仿宋_GB2312" w:cs="Times New Roman"/>
          <w:color w:val="auto"/>
          <w:sz w:val="30"/>
          <w:szCs w:val="30"/>
          <w:highlight w:val="none"/>
          <w:lang w:val="en-US" w:eastAsia="zh-CN"/>
        </w:rPr>
        <w:t>2</w:t>
      </w:r>
      <w:r>
        <w:rPr>
          <w:rFonts w:hint="default" w:ascii="Times New Roman" w:hAnsi="Times New Roman" w:eastAsia="仿宋_GB2312" w:cs="Times New Roman"/>
          <w:color w:val="auto"/>
          <w:sz w:val="30"/>
          <w:szCs w:val="30"/>
          <w:highlight w:val="none"/>
        </w:rPr>
        <w:t>人，</w:t>
      </w:r>
      <w:r>
        <w:rPr>
          <w:rFonts w:hint="eastAsia" w:ascii="Times New Roman" w:hAnsi="Times New Roman" w:eastAsia="仿宋_GB2312" w:cs="Times New Roman"/>
          <w:color w:val="auto"/>
          <w:sz w:val="30"/>
          <w:szCs w:val="30"/>
          <w:highlight w:val="none"/>
          <w:lang w:val="en-US" w:eastAsia="zh-CN"/>
        </w:rPr>
        <w:t>领取的总薪酬（税前）为</w:t>
      </w:r>
      <w:r>
        <w:rPr>
          <w:rFonts w:hint="eastAsia" w:eastAsia="仿宋_GB2312" w:cs="Times New Roman"/>
          <w:color w:val="auto"/>
          <w:sz w:val="30"/>
          <w:szCs w:val="30"/>
          <w:highlight w:val="none"/>
          <w:lang w:val="en-US" w:eastAsia="zh-CN"/>
        </w:rPr>
        <w:t>240</w:t>
      </w:r>
      <w:r>
        <w:rPr>
          <w:rFonts w:hint="eastAsia" w:ascii="Times New Roman" w:hAnsi="Times New Roman" w:eastAsia="仿宋_GB2312" w:cs="Times New Roman"/>
          <w:color w:val="auto"/>
          <w:sz w:val="30"/>
          <w:szCs w:val="30"/>
          <w:highlight w:val="none"/>
          <w:lang w:val="en-US" w:eastAsia="zh-CN"/>
        </w:rPr>
        <w:t>万元，</w:t>
      </w:r>
      <w:r>
        <w:rPr>
          <w:rFonts w:hint="default" w:ascii="Times New Roman" w:hAnsi="Times New Roman" w:eastAsia="仿宋_GB2312" w:cs="Times New Roman"/>
          <w:color w:val="auto"/>
          <w:sz w:val="30"/>
          <w:szCs w:val="30"/>
          <w:highlight w:val="none"/>
        </w:rPr>
        <w:t>股东董事、独立董事、股东监事及外部监事均不在本公司领取薪酬。董监事、高级管理人员及重要岗位管理人员年度薪酬结构分布情况如下：</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30"/>
        <w:gridCol w:w="45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4530" w:type="dxa"/>
            <w:noWrap w:val="0"/>
            <w:vAlign w:val="center"/>
          </w:tcPr>
          <w:p>
            <w:pPr>
              <w:widowControl/>
              <w:spacing w:line="320" w:lineRule="exact"/>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年度报酬总额（税前）</w:t>
            </w:r>
          </w:p>
        </w:tc>
        <w:tc>
          <w:tcPr>
            <w:tcW w:w="4530" w:type="dxa"/>
            <w:noWrap w:val="0"/>
            <w:vAlign w:val="center"/>
          </w:tcPr>
          <w:p>
            <w:pPr>
              <w:widowControl/>
              <w:spacing w:line="320" w:lineRule="exact"/>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人数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4530" w:type="dxa"/>
            <w:noWrap w:val="0"/>
            <w:vAlign w:val="center"/>
          </w:tcPr>
          <w:p>
            <w:pPr>
              <w:widowControl/>
              <w:spacing w:line="320" w:lineRule="exact"/>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报酬数在15万元以上</w:t>
            </w:r>
          </w:p>
        </w:tc>
        <w:tc>
          <w:tcPr>
            <w:tcW w:w="4530" w:type="dxa"/>
            <w:noWrap w:val="0"/>
            <w:vAlign w:val="center"/>
          </w:tcPr>
          <w:p>
            <w:pPr>
              <w:widowControl/>
              <w:spacing w:line="320" w:lineRule="exact"/>
              <w:jc w:val="both"/>
              <w:rPr>
                <w:rFonts w:hint="default" w:ascii="Times New Roman" w:hAnsi="Times New Roman" w:eastAsia="仿宋_GB2312" w:cs="Times New Roman"/>
                <w:color w:val="auto"/>
                <w:kern w:val="0"/>
                <w:sz w:val="24"/>
                <w:szCs w:val="24"/>
                <w:highlight w:val="none"/>
                <w:lang w:val="en-US" w:eastAsia="zh-CN"/>
              </w:rPr>
            </w:pPr>
            <w:r>
              <w:rPr>
                <w:rFonts w:hint="eastAsia" w:eastAsia="仿宋_GB2312" w:cs="Times New Roman"/>
                <w:color w:val="auto"/>
                <w:kern w:val="0"/>
                <w:sz w:val="24"/>
                <w:szCs w:val="24"/>
                <w:highlight w:val="none"/>
                <w:lang w:val="en-US" w:eastAsia="zh-CN"/>
              </w:rPr>
              <w:t>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4530" w:type="dxa"/>
            <w:noWrap w:val="0"/>
            <w:vAlign w:val="center"/>
          </w:tcPr>
          <w:p>
            <w:pPr>
              <w:widowControl/>
              <w:spacing w:line="320" w:lineRule="exact"/>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报酬数在10万元至15万元（含）</w:t>
            </w:r>
          </w:p>
        </w:tc>
        <w:tc>
          <w:tcPr>
            <w:tcW w:w="4530" w:type="dxa"/>
            <w:noWrap w:val="0"/>
            <w:vAlign w:val="center"/>
          </w:tcPr>
          <w:p>
            <w:pPr>
              <w:widowControl/>
              <w:spacing w:line="320" w:lineRule="exact"/>
              <w:jc w:val="both"/>
              <w:rPr>
                <w:rFonts w:hint="default" w:ascii="Times New Roman" w:hAnsi="Times New Roman" w:eastAsia="仿宋_GB2312" w:cs="Times New Roman"/>
                <w:color w:val="auto"/>
                <w:kern w:val="0"/>
                <w:sz w:val="24"/>
                <w:szCs w:val="24"/>
                <w:highlight w:val="none"/>
                <w:lang w:val="en-US" w:eastAsia="zh-CN"/>
              </w:rPr>
            </w:pPr>
            <w:r>
              <w:rPr>
                <w:rFonts w:hint="eastAsia" w:eastAsia="仿宋_GB2312" w:cs="Times New Roman"/>
                <w:color w:val="auto"/>
                <w:kern w:val="0"/>
                <w:sz w:val="24"/>
                <w:szCs w:val="24"/>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4530" w:type="dxa"/>
            <w:noWrap w:val="0"/>
            <w:vAlign w:val="center"/>
          </w:tcPr>
          <w:p>
            <w:pPr>
              <w:widowControl/>
              <w:spacing w:line="320" w:lineRule="exact"/>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报酬数在10万元（含）以下</w:t>
            </w:r>
          </w:p>
        </w:tc>
        <w:tc>
          <w:tcPr>
            <w:tcW w:w="4530" w:type="dxa"/>
            <w:noWrap w:val="0"/>
            <w:vAlign w:val="center"/>
          </w:tcPr>
          <w:p>
            <w:pPr>
              <w:widowControl/>
              <w:spacing w:line="320" w:lineRule="exact"/>
              <w:jc w:val="both"/>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color w:val="auto"/>
                <w:kern w:val="0"/>
                <w:sz w:val="24"/>
                <w:szCs w:val="24"/>
                <w:highlight w:val="none"/>
                <w:lang w:val="en-US" w:eastAsia="zh-CN"/>
              </w:rPr>
              <w:t>1</w:t>
            </w: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color w:val="auto"/>
          <w:kern w:val="0"/>
          <w:sz w:val="28"/>
          <w:szCs w:val="28"/>
          <w:highlight w:val="none"/>
          <w:lang w:val="en-US" w:eastAsia="zh-CN"/>
        </w:rPr>
        <w:t>四</w:t>
      </w:r>
      <w:r>
        <w:rPr>
          <w:rFonts w:hint="default" w:ascii="Times New Roman" w:hAnsi="Times New Roman" w:eastAsia="仿宋_GB2312" w:cs="Times New Roman"/>
          <w:b/>
          <w:color w:val="auto"/>
          <w:kern w:val="0"/>
          <w:sz w:val="28"/>
          <w:szCs w:val="28"/>
          <w:highlight w:val="none"/>
        </w:rPr>
        <w:t>）薪酬延期支付情况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公司对高级管理人员以及对风险有重要影响岗位上的员工进行绩效薪酬延期支付，延期支付比例与业务分管、管理职级、风险影响程度等因素挂钩，最高达到50%比例。期限为三年，在延期支付时段中遵循等分原则。</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color w:val="auto"/>
          <w:kern w:val="0"/>
          <w:sz w:val="28"/>
          <w:szCs w:val="28"/>
          <w:highlight w:val="none"/>
          <w:lang w:val="en-US" w:eastAsia="zh-CN"/>
        </w:rPr>
        <w:t>五</w:t>
      </w:r>
      <w:r>
        <w:rPr>
          <w:rFonts w:hint="default" w:ascii="Times New Roman" w:hAnsi="Times New Roman" w:eastAsia="仿宋_GB2312" w:cs="Times New Roman"/>
          <w:b/>
          <w:color w:val="auto"/>
          <w:kern w:val="0"/>
          <w:sz w:val="28"/>
          <w:szCs w:val="28"/>
          <w:highlight w:val="none"/>
        </w:rPr>
        <w:t>）薪酬与业绩衡量、风险调整的标准</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绩效薪酬部分与年度考核结果挂钩，年度考核内容遵循“银行业金融机构绩效考评监管指引”执行，基本涵盖合规经营类、风险管理类、经营效益类、创新发展类和社会责任类等指标。</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bCs/>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color w:val="auto"/>
          <w:kern w:val="0"/>
          <w:sz w:val="28"/>
          <w:szCs w:val="28"/>
          <w:highlight w:val="none"/>
          <w:lang w:val="en-US" w:eastAsia="zh-CN"/>
        </w:rPr>
        <w:t>六</w:t>
      </w: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bCs/>
          <w:color w:val="auto"/>
          <w:kern w:val="0"/>
          <w:sz w:val="28"/>
          <w:szCs w:val="28"/>
          <w:highlight w:val="none"/>
        </w:rPr>
        <w:t>年度薪酬方案制定符合商业银行稳健薪酬监管指引要求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公司积极履行社会责任，参与社会公益、教育助学、卫生医疗、节能环保、扶贫济困、养老帮扶、志愿服务等公益慈善事业，鼓励员工积极参与机构或其他社会组织开展的环境和社会公益活动，并明确将社会责任内容纳入年度考核指标。</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_GB2312" w:cs="Times New Roman"/>
          <w:b/>
          <w:color w:val="auto"/>
          <w:kern w:val="0"/>
          <w:sz w:val="28"/>
          <w:szCs w:val="28"/>
          <w:highlight w:val="none"/>
        </w:rPr>
      </w:pPr>
      <w:r>
        <w:rPr>
          <w:rFonts w:hint="default" w:ascii="Times New Roman" w:hAnsi="Times New Roman" w:eastAsia="仿宋_GB2312" w:cs="Times New Roman"/>
          <w:b/>
          <w:color w:val="auto"/>
          <w:kern w:val="0"/>
          <w:sz w:val="28"/>
          <w:szCs w:val="28"/>
          <w:highlight w:val="none"/>
        </w:rPr>
        <w:t>（</w:t>
      </w:r>
      <w:r>
        <w:rPr>
          <w:rFonts w:hint="default" w:ascii="Times New Roman" w:hAnsi="Times New Roman" w:eastAsia="仿宋_GB2312" w:cs="Times New Roman"/>
          <w:b/>
          <w:color w:val="auto"/>
          <w:kern w:val="0"/>
          <w:sz w:val="28"/>
          <w:szCs w:val="28"/>
          <w:highlight w:val="none"/>
          <w:lang w:val="en-US" w:eastAsia="zh-CN"/>
        </w:rPr>
        <w:t>七</w:t>
      </w:r>
      <w:r>
        <w:rPr>
          <w:rFonts w:hint="default" w:ascii="Times New Roman" w:hAnsi="Times New Roman" w:eastAsia="仿宋_GB2312" w:cs="Times New Roman"/>
          <w:b/>
          <w:color w:val="auto"/>
          <w:kern w:val="0"/>
          <w:sz w:val="28"/>
          <w:szCs w:val="28"/>
          <w:highlight w:val="none"/>
        </w:rPr>
        <w:t>）超出原定薪酬方案的例外情况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rPr>
        <w:t>报告期内，本公司无超出原定薪酬方案的例外情况</w:t>
      </w:r>
      <w:r>
        <w:rPr>
          <w:rFonts w:hint="default" w:ascii="Times New Roman" w:hAnsi="Times New Roman" w:eastAsia="仿宋_GB2312" w:cs="Times New Roman"/>
          <w:color w:val="auto"/>
          <w:sz w:val="30"/>
          <w:szCs w:val="3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黑体" w:cs="Times New Roman"/>
          <w:b/>
          <w:color w:val="auto"/>
          <w:sz w:val="30"/>
          <w:szCs w:val="30"/>
          <w:highlight w:val="none"/>
        </w:rPr>
      </w:pPr>
      <w:r>
        <w:rPr>
          <w:rFonts w:hint="eastAsia" w:ascii="Times New Roman" w:hAnsi="Times New Roman" w:eastAsia="黑体" w:cs="Times New Roman"/>
          <w:b/>
          <w:color w:val="auto"/>
          <w:sz w:val="30"/>
          <w:szCs w:val="30"/>
          <w:highlight w:val="none"/>
          <w:lang w:val="en-US" w:eastAsia="zh-CN"/>
        </w:rPr>
        <w:t>6.4</w:t>
      </w:r>
      <w:r>
        <w:rPr>
          <w:rFonts w:hint="default" w:ascii="仿宋_GB2312" w:hAnsi="仿宋_GB2312" w:eastAsia="仿宋_GB2312" w:cs="仿宋_GB2312"/>
          <w:b/>
          <w:color w:val="auto"/>
          <w:sz w:val="30"/>
          <w:szCs w:val="30"/>
          <w:highlight w:val="none"/>
          <w:lang w:val="en-US" w:eastAsia="zh-CN"/>
        </w:rPr>
        <w:t>员工情况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default" w:ascii="Times New Roman" w:hAnsi="Times New Roman" w:eastAsia="仿宋_GB2312" w:cs="Times New Roman"/>
          <w:color w:val="FF0000"/>
          <w:sz w:val="30"/>
          <w:szCs w:val="30"/>
          <w:highlight w:val="none"/>
        </w:rPr>
      </w:pPr>
      <w:r>
        <w:rPr>
          <w:rFonts w:hint="default" w:ascii="Times New Roman" w:hAnsi="Times New Roman" w:eastAsia="仿宋_GB2312" w:cs="Times New Roman"/>
          <w:color w:val="auto"/>
          <w:sz w:val="30"/>
          <w:szCs w:val="30"/>
          <w:highlight w:val="none"/>
        </w:rPr>
        <w:t>本公司秉承“为员工创造未来”的理念，坚持“以人为本”，努力为员工创造和谐融洽的成长环境、提供全方位的培训机会和多元化的发展平台，实现员工与企业的共同发展。报告期末，</w:t>
      </w:r>
      <w:r>
        <w:rPr>
          <w:rFonts w:hint="default" w:ascii="Times New Roman" w:hAnsi="Times New Roman" w:eastAsia="仿宋_GB2312" w:cs="Times New Roman"/>
          <w:color w:val="FF0000"/>
          <w:sz w:val="30"/>
          <w:szCs w:val="30"/>
          <w:highlight w:val="none"/>
        </w:rPr>
        <w:t>公司（含并表子公司）员工共计</w:t>
      </w:r>
      <w:r>
        <w:rPr>
          <w:rFonts w:hint="eastAsia" w:ascii="Times New Roman" w:hAnsi="Times New Roman" w:eastAsia="仿宋_GB2312" w:cs="Times New Roman"/>
          <w:color w:val="FF0000"/>
          <w:sz w:val="30"/>
          <w:szCs w:val="30"/>
          <w:highlight w:val="none"/>
          <w:lang w:val="en-US" w:eastAsia="zh-CN"/>
        </w:rPr>
        <w:t>97</w:t>
      </w:r>
      <w:r>
        <w:rPr>
          <w:rFonts w:hint="default" w:ascii="Times New Roman" w:hAnsi="Times New Roman" w:eastAsia="仿宋_GB2312" w:cs="Times New Roman"/>
          <w:color w:val="FF0000"/>
          <w:sz w:val="30"/>
          <w:szCs w:val="30"/>
          <w:highlight w:val="none"/>
        </w:rPr>
        <w:t>人，较年初增加</w:t>
      </w:r>
      <w:r>
        <w:rPr>
          <w:rFonts w:hint="eastAsia" w:ascii="Times New Roman" w:hAnsi="Times New Roman" w:eastAsia="仿宋_GB2312" w:cs="Times New Roman"/>
          <w:color w:val="FF0000"/>
          <w:sz w:val="30"/>
          <w:szCs w:val="30"/>
          <w:highlight w:val="none"/>
          <w:lang w:val="en-US" w:eastAsia="zh-CN"/>
        </w:rPr>
        <w:t>17</w:t>
      </w:r>
      <w:r>
        <w:rPr>
          <w:rFonts w:hint="default" w:ascii="Times New Roman" w:hAnsi="Times New Roman" w:eastAsia="仿宋_GB2312" w:cs="Times New Roman"/>
          <w:color w:val="FF0000"/>
          <w:sz w:val="30"/>
          <w:szCs w:val="30"/>
          <w:highlight w:val="none"/>
        </w:rPr>
        <w:t>人，增幅</w:t>
      </w:r>
      <w:r>
        <w:rPr>
          <w:rFonts w:hint="eastAsia" w:ascii="Times New Roman" w:hAnsi="Times New Roman" w:eastAsia="仿宋_GB2312" w:cs="Times New Roman"/>
          <w:color w:val="FF0000"/>
          <w:sz w:val="30"/>
          <w:szCs w:val="30"/>
          <w:highlight w:val="none"/>
          <w:lang w:val="en-US" w:eastAsia="zh-CN"/>
        </w:rPr>
        <w:t>21.28</w:t>
      </w:r>
      <w:r>
        <w:rPr>
          <w:rFonts w:hint="default" w:ascii="Times New Roman" w:hAnsi="Times New Roman" w:eastAsia="仿宋_GB2312" w:cs="Times New Roman"/>
          <w:color w:val="FF0000"/>
          <w:sz w:val="30"/>
          <w:szCs w:val="30"/>
          <w:highlight w:val="none"/>
        </w:rPr>
        <w:t>%；按学历划分，大专及以上学历员工占比97.</w:t>
      </w:r>
      <w:r>
        <w:rPr>
          <w:rFonts w:hint="eastAsia" w:ascii="Times New Roman" w:hAnsi="Times New Roman" w:eastAsia="仿宋_GB2312" w:cs="Times New Roman"/>
          <w:color w:val="FF0000"/>
          <w:sz w:val="30"/>
          <w:szCs w:val="30"/>
          <w:highlight w:val="none"/>
          <w:lang w:val="en-US" w:eastAsia="zh-CN"/>
        </w:rPr>
        <w:t>93</w:t>
      </w:r>
      <w:r>
        <w:rPr>
          <w:rFonts w:hint="default" w:ascii="Times New Roman" w:hAnsi="Times New Roman" w:eastAsia="仿宋_GB2312" w:cs="Times New Roman"/>
          <w:color w:val="FF0000"/>
          <w:sz w:val="30"/>
          <w:szCs w:val="30"/>
          <w:highlight w:val="none"/>
        </w:rPr>
        <w:t>%，其中硕士研究生以上占比</w:t>
      </w:r>
      <w:r>
        <w:rPr>
          <w:rFonts w:hint="eastAsia" w:ascii="Times New Roman" w:hAnsi="Times New Roman" w:eastAsia="仿宋_GB2312" w:cs="Times New Roman"/>
          <w:color w:val="FF0000"/>
          <w:sz w:val="30"/>
          <w:szCs w:val="30"/>
          <w:highlight w:val="none"/>
          <w:lang w:val="en-US" w:eastAsia="zh-CN"/>
        </w:rPr>
        <w:t>3</w:t>
      </w:r>
      <w:r>
        <w:rPr>
          <w:rFonts w:hint="default" w:ascii="Times New Roman" w:hAnsi="Times New Roman" w:eastAsia="仿宋_GB2312" w:cs="Times New Roman"/>
          <w:color w:val="FF0000"/>
          <w:sz w:val="30"/>
          <w:szCs w:val="30"/>
          <w:highlight w:val="none"/>
        </w:rPr>
        <w:t>.</w:t>
      </w:r>
      <w:r>
        <w:rPr>
          <w:rFonts w:hint="eastAsia" w:ascii="Times New Roman" w:hAnsi="Times New Roman" w:eastAsia="仿宋_GB2312" w:cs="Times New Roman"/>
          <w:color w:val="FF0000"/>
          <w:sz w:val="30"/>
          <w:szCs w:val="30"/>
          <w:highlight w:val="none"/>
          <w:lang w:val="en-US" w:eastAsia="zh-CN"/>
        </w:rPr>
        <w:t>09</w:t>
      </w:r>
      <w:r>
        <w:rPr>
          <w:rFonts w:hint="default" w:ascii="Times New Roman" w:hAnsi="Times New Roman" w:eastAsia="仿宋_GB2312" w:cs="Times New Roman"/>
          <w:color w:val="FF0000"/>
          <w:sz w:val="30"/>
          <w:szCs w:val="30"/>
          <w:highlight w:val="none"/>
        </w:rPr>
        <w:t>%，本科学历占比6</w:t>
      </w:r>
      <w:r>
        <w:rPr>
          <w:rFonts w:hint="eastAsia" w:ascii="Times New Roman" w:hAnsi="Times New Roman" w:eastAsia="仿宋_GB2312" w:cs="Times New Roman"/>
          <w:color w:val="FF0000"/>
          <w:sz w:val="30"/>
          <w:szCs w:val="30"/>
          <w:highlight w:val="none"/>
          <w:lang w:val="en-US" w:eastAsia="zh-CN"/>
        </w:rPr>
        <w:t>5.97</w:t>
      </w:r>
      <w:r>
        <w:rPr>
          <w:rFonts w:hint="default" w:ascii="Times New Roman" w:hAnsi="Times New Roman" w:eastAsia="仿宋_GB2312" w:cs="Times New Roman"/>
          <w:color w:val="FF000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p>
    <w:p>
      <w:pPr>
        <w:keepNext w:val="0"/>
        <w:keepLines w:val="0"/>
        <w:pageBreakBefore w:val="0"/>
        <w:widowControl w:val="0"/>
        <w:kinsoku/>
        <w:wordWrap/>
        <w:overflowPunct/>
        <w:topLinePunct w:val="0"/>
        <w:autoSpaceDE/>
        <w:autoSpaceDN/>
        <w:bidi w:val="0"/>
        <w:spacing w:line="560" w:lineRule="exact"/>
        <w:ind w:left="413"/>
        <w:jc w:val="both"/>
        <w:textAlignment w:val="auto"/>
        <w:rPr>
          <w:rFonts w:hint="default" w:ascii="Times New Roman" w:hAnsi="Times New Roman" w:eastAsia="仿宋_GB2312" w:cs="Times New Roman"/>
          <w:b/>
          <w:color w:val="auto"/>
          <w:sz w:val="30"/>
          <w:szCs w:val="30"/>
          <w:highlight w:val="none"/>
        </w:rPr>
      </w:pPr>
      <w:r>
        <w:rPr>
          <w:rFonts w:hint="eastAsia" w:eastAsia="仿宋_GB2312" w:cs="Times New Roman"/>
          <w:b/>
          <w:color w:val="auto"/>
          <w:sz w:val="30"/>
          <w:szCs w:val="30"/>
          <w:highlight w:val="none"/>
          <w:lang w:val="en-US" w:eastAsia="zh-CN"/>
        </w:rPr>
        <w:t>6.5</w:t>
      </w:r>
      <w:r>
        <w:rPr>
          <w:rFonts w:hint="default" w:ascii="Times New Roman" w:hAnsi="Times New Roman" w:eastAsia="仿宋_GB2312" w:cs="Times New Roman"/>
          <w:b/>
          <w:color w:val="auto"/>
          <w:sz w:val="30"/>
          <w:szCs w:val="30"/>
          <w:highlight w:val="none"/>
        </w:rPr>
        <w:t>分支机构情况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报告期末，本行有营业部、</w:t>
      </w:r>
      <w:r>
        <w:rPr>
          <w:rFonts w:hint="default" w:ascii="Times New Roman" w:hAnsi="Times New Roman" w:eastAsia="仿宋_GB2312" w:cs="Times New Roman"/>
          <w:color w:val="auto"/>
          <w:sz w:val="30"/>
          <w:szCs w:val="30"/>
          <w:highlight w:val="none"/>
          <w:lang w:val="en-US" w:eastAsia="zh-CN"/>
        </w:rPr>
        <w:t>蔡家支行</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sz w:val="30"/>
          <w:szCs w:val="30"/>
          <w:highlight w:val="none"/>
          <w:lang w:val="en-US" w:eastAsia="zh-CN"/>
        </w:rPr>
        <w:t>朝阳支行、歇马支行、静观支行5</w:t>
      </w:r>
      <w:r>
        <w:rPr>
          <w:rFonts w:hint="default" w:ascii="Times New Roman" w:hAnsi="Times New Roman" w:eastAsia="仿宋_GB2312" w:cs="Times New Roman"/>
          <w:color w:val="auto"/>
          <w:sz w:val="30"/>
          <w:szCs w:val="30"/>
          <w:highlight w:val="none"/>
        </w:rPr>
        <w:t>个网点。分支机构情况详见下表：</w:t>
      </w:r>
    </w:p>
    <w:tbl>
      <w:tblPr>
        <w:tblStyle w:val="4"/>
        <w:tblW w:w="848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7"/>
        <w:gridCol w:w="2084"/>
        <w:gridCol w:w="57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widowControl/>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序号</w:t>
            </w:r>
          </w:p>
        </w:tc>
        <w:tc>
          <w:tcPr>
            <w:tcW w:w="2084" w:type="dxa"/>
            <w:noWrap w:val="0"/>
            <w:vAlign w:val="center"/>
          </w:tcPr>
          <w:p>
            <w:pPr>
              <w:widowControl/>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机构名称</w:t>
            </w:r>
          </w:p>
        </w:tc>
        <w:tc>
          <w:tcPr>
            <w:tcW w:w="5749" w:type="dxa"/>
            <w:noWrap w:val="0"/>
            <w:vAlign w:val="center"/>
          </w:tcPr>
          <w:p>
            <w:pPr>
              <w:widowControl/>
              <w:jc w:val="both"/>
              <w:rPr>
                <w:rFonts w:hint="default" w:ascii="Times New Roman" w:hAnsi="Times New Roman" w:eastAsia="仿宋_GB2312" w:cs="Times New Roman"/>
                <w:b/>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机构地址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p>
        </w:tc>
        <w:tc>
          <w:tcPr>
            <w:tcW w:w="2084"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营业部</w:t>
            </w:r>
          </w:p>
        </w:tc>
        <w:tc>
          <w:tcPr>
            <w:tcW w:w="5749" w:type="dxa"/>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重庆市北碚区云华路</w:t>
            </w:r>
            <w:r>
              <w:rPr>
                <w:rFonts w:hint="eastAsia" w:eastAsia="仿宋_GB2312" w:cs="Times New Roman"/>
                <w:color w:val="auto"/>
                <w:kern w:val="0"/>
                <w:sz w:val="24"/>
                <w:szCs w:val="24"/>
                <w:highlight w:val="none"/>
                <w:lang w:val="en-US" w:eastAsia="zh-CN"/>
              </w:rPr>
              <w:t>170</w:t>
            </w:r>
            <w:r>
              <w:rPr>
                <w:rFonts w:hint="default" w:ascii="Times New Roman" w:hAnsi="Times New Roman" w:eastAsia="仿宋_GB2312" w:cs="Times New Roman"/>
                <w:color w:val="auto"/>
                <w:kern w:val="0"/>
                <w:sz w:val="24"/>
                <w:szCs w:val="24"/>
                <w:highlight w:val="none"/>
                <w:lang w:val="en-US" w:eastAsia="zh-CN"/>
              </w:rPr>
              <w:t>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w:t>
            </w:r>
          </w:p>
        </w:tc>
        <w:tc>
          <w:tcPr>
            <w:tcW w:w="2084" w:type="dxa"/>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蔡家支行</w:t>
            </w:r>
          </w:p>
        </w:tc>
        <w:tc>
          <w:tcPr>
            <w:tcW w:w="5749"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lang w:val="en-US" w:eastAsia="zh-CN"/>
              </w:rPr>
              <w:t>重庆市北碚区云荟路269号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3</w:t>
            </w:r>
          </w:p>
        </w:tc>
        <w:tc>
          <w:tcPr>
            <w:tcW w:w="2084" w:type="dxa"/>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朝阳支行</w:t>
            </w:r>
          </w:p>
        </w:tc>
        <w:tc>
          <w:tcPr>
            <w:tcW w:w="5749"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lang w:val="en-US" w:eastAsia="zh-CN"/>
              </w:rPr>
              <w:t>重庆市北碚区朝阳路72号、上海路81号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w:t>
            </w:r>
          </w:p>
        </w:tc>
        <w:tc>
          <w:tcPr>
            <w:tcW w:w="2084" w:type="dxa"/>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歇马支行</w:t>
            </w:r>
          </w:p>
        </w:tc>
        <w:tc>
          <w:tcPr>
            <w:tcW w:w="5749" w:type="dxa"/>
            <w:noWrap w:val="0"/>
            <w:vAlign w:val="center"/>
          </w:tcPr>
          <w:p>
            <w:pPr>
              <w:widowControl/>
              <w:jc w:val="both"/>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sz w:val="24"/>
                <w:szCs w:val="24"/>
                <w:highlight w:val="none"/>
                <w:lang w:val="en-US" w:eastAsia="zh-CN"/>
              </w:rPr>
              <w:t>重庆市北碚区歇马路9号附2号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647" w:type="dxa"/>
            <w:noWrap w:val="0"/>
            <w:vAlign w:val="center"/>
          </w:tcPr>
          <w:p>
            <w:pPr>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5</w:t>
            </w:r>
          </w:p>
        </w:tc>
        <w:tc>
          <w:tcPr>
            <w:tcW w:w="2084" w:type="dxa"/>
            <w:noWrap w:val="0"/>
            <w:vAlign w:val="center"/>
          </w:tcPr>
          <w:p>
            <w:pPr>
              <w:widowControl/>
              <w:jc w:val="both"/>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rPr>
              <w:t>静观支行</w:t>
            </w:r>
          </w:p>
        </w:tc>
        <w:tc>
          <w:tcPr>
            <w:tcW w:w="5749" w:type="dxa"/>
            <w:noWrap w:val="0"/>
            <w:vAlign w:val="center"/>
          </w:tcPr>
          <w:p>
            <w:pPr>
              <w:widowControl/>
              <w:jc w:val="both"/>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i w:val="0"/>
                <w:iCs w:val="0"/>
                <w:color w:val="auto"/>
                <w:sz w:val="24"/>
                <w:szCs w:val="24"/>
                <w:highlight w:val="none"/>
                <w:u w:val="none"/>
              </w:rPr>
              <w:t>重庆北碚区静观镇花圃街12号、14号</w:t>
            </w:r>
          </w:p>
        </w:tc>
      </w:tr>
    </w:tbl>
    <w:p>
      <w:pPr>
        <w:pStyle w:val="3"/>
        <w:numPr>
          <w:ilvl w:val="0"/>
          <w:numId w:val="0"/>
        </w:numPr>
        <w:jc w:val="both"/>
        <w:rPr>
          <w:rFonts w:hint="eastAsia"/>
          <w:color w:val="auto"/>
          <w:highlight w:val="none"/>
        </w:rPr>
      </w:pPr>
    </w:p>
    <w:p>
      <w:pPr>
        <w:adjustRightInd w:val="0"/>
        <w:ind w:firstLine="602" w:firstLineChars="200"/>
        <w:jc w:val="both"/>
        <w:rPr>
          <w:rFonts w:hint="default" w:ascii="Times New Roman" w:hAnsi="Times New Roman" w:eastAsia="仿宋_GB2312" w:cs="Times New Roman"/>
          <w:b/>
          <w:bCs/>
          <w:color w:val="auto"/>
          <w:sz w:val="30"/>
          <w:szCs w:val="30"/>
          <w:highlight w:val="none"/>
        </w:rPr>
      </w:pPr>
      <w:r>
        <w:rPr>
          <w:rFonts w:hint="default" w:ascii="Times New Roman" w:hAnsi="Times New Roman" w:eastAsia="仿宋_GB2312" w:cs="Times New Roman"/>
          <w:b/>
          <w:bCs/>
          <w:color w:val="auto"/>
          <w:sz w:val="30"/>
          <w:szCs w:val="30"/>
          <w:highlight w:val="none"/>
        </w:rPr>
        <w:t>7</w:t>
      </w:r>
      <w:r>
        <w:rPr>
          <w:rFonts w:hint="default" w:ascii="Times New Roman" w:hAnsi="Times New Roman" w:eastAsia="仿宋_GB2312" w:cs="Times New Roman"/>
          <w:b/>
          <w:bCs/>
          <w:color w:val="auto"/>
          <w:sz w:val="30"/>
          <w:szCs w:val="30"/>
          <w:highlight w:val="none"/>
          <w:lang w:eastAsia="zh-CN"/>
        </w:rPr>
        <w:t>、</w:t>
      </w:r>
      <w:r>
        <w:rPr>
          <w:rFonts w:hint="default" w:ascii="Times New Roman" w:hAnsi="Times New Roman" w:eastAsia="仿宋_GB2312" w:cs="Times New Roman"/>
          <w:b/>
          <w:bCs/>
          <w:color w:val="auto"/>
          <w:sz w:val="30"/>
          <w:szCs w:val="30"/>
          <w:highlight w:val="none"/>
        </w:rPr>
        <w:t>公司治理结构</w:t>
      </w:r>
    </w:p>
    <w:p>
      <w:pPr>
        <w:adjustRightInd w:val="0"/>
        <w:ind w:firstLine="590" w:firstLineChars="196"/>
        <w:jc w:val="both"/>
        <w:rPr>
          <w:rFonts w:hint="default" w:ascii="Times New Roman" w:hAnsi="Times New Roman" w:eastAsia="仿宋_GB2312" w:cs="Times New Roman"/>
          <w:b/>
          <w:bCs/>
          <w:color w:val="auto"/>
          <w:sz w:val="30"/>
          <w:szCs w:val="30"/>
          <w:highlight w:val="none"/>
        </w:rPr>
      </w:pPr>
      <w:r>
        <w:rPr>
          <w:rFonts w:hint="default" w:ascii="Times New Roman" w:hAnsi="Times New Roman" w:eastAsia="仿宋_GB2312" w:cs="Times New Roman"/>
          <w:b/>
          <w:bCs/>
          <w:color w:val="auto"/>
          <w:sz w:val="30"/>
          <w:szCs w:val="30"/>
          <w:highlight w:val="none"/>
        </w:rPr>
        <w:t xml:space="preserve">7.1 </w:t>
      </w:r>
      <w:r>
        <w:rPr>
          <w:rFonts w:hint="default" w:ascii="Times New Roman" w:hAnsi="Times New Roman" w:eastAsia="仿宋_GB2312" w:cs="Times New Roman"/>
          <w:b/>
          <w:color w:val="auto"/>
          <w:sz w:val="30"/>
          <w:szCs w:val="30"/>
          <w:highlight w:val="none"/>
        </w:rPr>
        <w:t>公司治理情况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rPr>
        <w:t>本公司按照《中华人民共和国公司法》（以下简称“公司法”）、《中华人民共和国商业银行法》、《商业银行公司治理指引》等法律法规的要求建立了规范的治理结构，设立了董事会及其专门委员会、监事会和经营管理层，并分别制定了相应的议事规则和权力制衡机制。报告期内，公司不断完善公司治理结构，进一步明晰公司治理各主体的职责边界，积极开展资本补充工作，保护存款人的利益，为股东赢取回报，努力建设资本充足、内控严密、运营安全、效益良好的具有核心竞争优势的现代化银行。公司治理具体情况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eastAsia="zh-CN"/>
        </w:rPr>
      </w:pPr>
      <w:r>
        <w:rPr>
          <w:rFonts w:hint="eastAsia" w:ascii="Times New Roman" w:hAnsi="Times New Roman" w:eastAsia="仿宋_GB2312" w:cs="Times New Roman"/>
          <w:color w:val="auto"/>
          <w:sz w:val="30"/>
          <w:szCs w:val="30"/>
          <w:highlight w:val="none"/>
        </w:rPr>
        <w:t>（一）关于股东本公司具有较为合理的股权结构和运行规范制度，确保了所有股东享有平等地位并能够充分行使自己的权利。报告期末，公司股东总数</w:t>
      </w:r>
      <w:r>
        <w:rPr>
          <w:rFonts w:hint="eastAsia" w:ascii="Times New Roman" w:hAnsi="Times New Roman" w:eastAsia="仿宋_GB2312" w:cs="Times New Roman"/>
          <w:color w:val="auto"/>
          <w:sz w:val="30"/>
          <w:szCs w:val="30"/>
          <w:highlight w:val="none"/>
          <w:lang w:val="en-US" w:eastAsia="zh-CN"/>
        </w:rPr>
        <w:t>1</w:t>
      </w:r>
      <w:r>
        <w:rPr>
          <w:rFonts w:hint="eastAsia" w:ascii="Times New Roman" w:hAnsi="Times New Roman" w:eastAsia="仿宋_GB2312" w:cs="Times New Roman"/>
          <w:color w:val="auto"/>
          <w:sz w:val="30"/>
          <w:szCs w:val="30"/>
          <w:highlight w:val="none"/>
        </w:rPr>
        <w:t>户，其中法人股东</w:t>
      </w:r>
      <w:r>
        <w:rPr>
          <w:rFonts w:hint="eastAsia" w:ascii="Times New Roman" w:hAnsi="Times New Roman" w:eastAsia="仿宋_GB2312" w:cs="Times New Roman"/>
          <w:color w:val="auto"/>
          <w:sz w:val="30"/>
          <w:szCs w:val="30"/>
          <w:highlight w:val="none"/>
          <w:lang w:val="en-US" w:eastAsia="zh-CN"/>
        </w:rPr>
        <w:t>1</w:t>
      </w:r>
      <w:r>
        <w:rPr>
          <w:rFonts w:hint="eastAsia" w:ascii="Times New Roman" w:hAnsi="Times New Roman" w:eastAsia="仿宋_GB2312" w:cs="Times New Roman"/>
          <w:color w:val="auto"/>
          <w:sz w:val="30"/>
          <w:szCs w:val="30"/>
          <w:highlight w:val="none"/>
        </w:rPr>
        <w:t>户，合计持有股份</w:t>
      </w:r>
      <w:r>
        <w:rPr>
          <w:rFonts w:hint="eastAsia" w:ascii="Times New Roman" w:hAnsi="Times New Roman" w:eastAsia="仿宋_GB2312" w:cs="Times New Roman"/>
          <w:color w:val="auto"/>
          <w:sz w:val="30"/>
          <w:szCs w:val="30"/>
          <w:highlight w:val="none"/>
          <w:lang w:val="en-US" w:eastAsia="zh-CN"/>
        </w:rPr>
        <w:t>10000</w:t>
      </w:r>
      <w:r>
        <w:rPr>
          <w:rFonts w:hint="eastAsia" w:ascii="Times New Roman" w:hAnsi="Times New Roman" w:eastAsia="仿宋_GB2312" w:cs="Times New Roman"/>
          <w:color w:val="auto"/>
          <w:sz w:val="30"/>
          <w:szCs w:val="30"/>
          <w:highlight w:val="none"/>
        </w:rPr>
        <w:t>万股，占比</w:t>
      </w:r>
      <w:r>
        <w:rPr>
          <w:rFonts w:hint="eastAsia" w:ascii="Times New Roman" w:hAnsi="Times New Roman" w:eastAsia="仿宋_GB2312" w:cs="Times New Roman"/>
          <w:color w:val="auto"/>
          <w:sz w:val="30"/>
          <w:szCs w:val="30"/>
          <w:highlight w:val="none"/>
          <w:lang w:val="en-US" w:eastAsia="zh-CN"/>
        </w:rPr>
        <w:t>100</w:t>
      </w:r>
      <w:r>
        <w:rPr>
          <w:rFonts w:hint="eastAsia"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rPr>
        <w:t xml:space="preserve"> 本公司</w:t>
      </w:r>
      <w:r>
        <w:rPr>
          <w:rFonts w:hint="eastAsia" w:ascii="Times New Roman" w:hAnsi="Times New Roman" w:eastAsia="仿宋_GB2312" w:cs="Times New Roman"/>
          <w:color w:val="auto"/>
          <w:sz w:val="30"/>
          <w:szCs w:val="30"/>
          <w:highlight w:val="none"/>
          <w:lang w:val="en-US" w:eastAsia="zh-CN"/>
        </w:rPr>
        <w:t>董事会和监事会</w:t>
      </w:r>
      <w:r>
        <w:rPr>
          <w:rFonts w:hint="eastAsia" w:ascii="Times New Roman" w:hAnsi="Times New Roman" w:eastAsia="仿宋_GB2312" w:cs="Times New Roman"/>
          <w:color w:val="auto"/>
          <w:sz w:val="30"/>
          <w:szCs w:val="30"/>
          <w:highlight w:val="none"/>
        </w:rPr>
        <w:t>会议的通知、召集、召开和表决程序均严格遵照《公司法》、本公司《章程》的规定，保证股东对公司重大事项的知情权、参与权和表决权。</w:t>
      </w:r>
    </w:p>
    <w:p>
      <w:pPr>
        <w:pStyle w:val="3"/>
        <w:numPr>
          <w:ilvl w:val="0"/>
          <w:numId w:val="0"/>
        </w:numPr>
        <w:ind w:left="750" w:leftChars="0"/>
        <w:jc w:val="both"/>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（二）股东职责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rPr>
      </w:pPr>
      <w:r>
        <w:rPr>
          <w:rFonts w:hint="eastAsia" w:ascii="Times New Roman" w:hAnsi="Times New Roman" w:eastAsia="仿宋_GB2312" w:cs="Times New Roman"/>
          <w:color w:val="auto"/>
          <w:sz w:val="30"/>
          <w:szCs w:val="30"/>
          <w:highlight w:val="none"/>
        </w:rPr>
        <w:t>本行薪酬管理组织架构包括股东、董事会、监事会及高级管理层四个层面。在决策程序方面，</w:t>
      </w:r>
      <w:r>
        <w:rPr>
          <w:rFonts w:hint="eastAsia" w:ascii="Times New Roman" w:hAnsi="Times New Roman" w:eastAsia="仿宋_GB2312" w:cs="Times New Roman"/>
          <w:color w:val="auto"/>
          <w:sz w:val="30"/>
          <w:szCs w:val="30"/>
          <w:highlight w:val="none"/>
          <w:lang w:val="en-US" w:eastAsia="zh-CN"/>
        </w:rPr>
        <w:t>按照《公司法》规定，股东行使选举和更换董事、监事，决定有关董事、监事的报酬事项，审议批准董事会的报告，审议批准监事会的报告，审议批准公司的利润分配方案和弥补亏损方案，对公司增加或者减少注册资本做出决议；对公司合并、分立、解散、清算或者变更公司形式做出决议，修改公司章程，公司章程规定的其他职权。</w:t>
      </w:r>
      <w:r>
        <w:rPr>
          <w:rFonts w:hint="eastAsia" w:ascii="Times New Roman" w:hAnsi="Times New Roman" w:eastAsia="仿宋_GB2312" w:cs="Times New Roman"/>
          <w:color w:val="auto"/>
          <w:sz w:val="30"/>
          <w:szCs w:val="30"/>
          <w:highlight w:val="none"/>
        </w:rPr>
        <w:t>本行董事会按照国家有关法律和政策规定，负责公司薪酬管理制度和相关政策的制订，并对高级管理人员按年度进行绩效考核，决定高级管理人员薪酬标准；监事会负责监督董事、监事和高级管理人员的履职情况，按年度进行考核评价，并将董事及监事的考核结果向股东报告；管理层负责组织实施董事会薪酬管理方面的决议，并接受董事会管理和监事会监督。</w:t>
      </w:r>
      <w:r>
        <w:rPr>
          <w:rFonts w:hint="eastAsia" w:eastAsia="仿宋_GB2312" w:cs="Times New Roman"/>
          <w:color w:val="auto"/>
          <w:sz w:val="30"/>
          <w:szCs w:val="30"/>
          <w:highlight w:val="none"/>
          <w:lang w:val="en-US" w:eastAsia="zh-CN"/>
        </w:rPr>
        <w:t>2025年11月我行取消监事会，监事会的职权由董事会审计委员会承接。</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eastAsia="zh-CN"/>
        </w:rPr>
        <w:t>（</w:t>
      </w:r>
      <w:r>
        <w:rPr>
          <w:rFonts w:hint="eastAsia" w:ascii="Times New Roman" w:hAnsi="Times New Roman" w:eastAsia="仿宋_GB2312" w:cs="Times New Roman"/>
          <w:color w:val="auto"/>
          <w:sz w:val="30"/>
          <w:szCs w:val="30"/>
          <w:highlight w:val="none"/>
          <w:lang w:val="en-US" w:eastAsia="zh-CN"/>
        </w:rPr>
        <w:t>三</w:t>
      </w:r>
      <w:r>
        <w:rPr>
          <w:rFonts w:hint="eastAsia" w:ascii="Times New Roman" w:hAnsi="Times New Roman" w:eastAsia="仿宋_GB2312" w:cs="Times New Roman"/>
          <w:color w:val="auto"/>
          <w:sz w:val="30"/>
          <w:szCs w:val="30"/>
          <w:highlight w:val="none"/>
          <w:lang w:eastAsia="zh-CN"/>
        </w:rPr>
        <w:t>）</w:t>
      </w:r>
      <w:r>
        <w:rPr>
          <w:rFonts w:hint="eastAsia" w:ascii="Times New Roman" w:hAnsi="Times New Roman" w:eastAsia="仿宋_GB2312" w:cs="Times New Roman"/>
          <w:color w:val="auto"/>
          <w:sz w:val="30"/>
          <w:szCs w:val="30"/>
          <w:highlight w:val="none"/>
          <w:lang w:val="en-US" w:eastAsia="zh-CN"/>
        </w:rPr>
        <w:t>202</w:t>
      </w:r>
      <w:r>
        <w:rPr>
          <w:rFonts w:hint="eastAsia" w:eastAsia="仿宋_GB2312" w:cs="Times New Roman"/>
          <w:color w:val="auto"/>
          <w:sz w:val="30"/>
          <w:szCs w:val="30"/>
          <w:highlight w:val="none"/>
          <w:lang w:val="en-US" w:eastAsia="zh-CN"/>
        </w:rPr>
        <w:t>5</w:t>
      </w:r>
      <w:r>
        <w:rPr>
          <w:rFonts w:hint="eastAsia" w:ascii="Times New Roman" w:hAnsi="Times New Roman" w:eastAsia="仿宋_GB2312" w:cs="Times New Roman"/>
          <w:color w:val="auto"/>
          <w:sz w:val="30"/>
          <w:szCs w:val="30"/>
          <w:highlight w:val="none"/>
          <w:lang w:val="en-US" w:eastAsia="zh-CN"/>
        </w:rPr>
        <w:t>年股东决定情况</w:t>
      </w:r>
    </w:p>
    <w:p>
      <w:pPr>
        <w:pStyle w:val="7"/>
        <w:keepNext w:val="0"/>
        <w:keepLines w:val="0"/>
        <w:pageBreakBefore w:val="0"/>
        <w:kinsoku/>
        <w:wordWrap/>
        <w:overflowPunct/>
        <w:topLinePunct w:val="0"/>
        <w:bidi w:val="0"/>
        <w:snapToGrid/>
        <w:spacing w:line="560" w:lineRule="exact"/>
        <w:jc w:val="both"/>
        <w:rPr>
          <w:rFonts w:hint="default" w:ascii="Times New Roman" w:hAnsi="Times New Roman" w:eastAsia="仿宋_GB2312" w:cs="Times New Roman"/>
          <w:b/>
          <w:bCs/>
          <w:color w:val="auto"/>
          <w:kern w:val="0"/>
          <w:sz w:val="30"/>
          <w:szCs w:val="30"/>
          <w:highlight w:val="none"/>
          <w:lang w:val="en-US" w:eastAsia="zh-CN"/>
        </w:rPr>
      </w:pPr>
      <w:r>
        <w:rPr>
          <w:rFonts w:hint="default" w:ascii="Times New Roman" w:hAnsi="Times New Roman" w:eastAsia="仿宋_GB2312" w:cs="Times New Roman"/>
          <w:b/>
          <w:bCs/>
          <w:color w:val="auto"/>
          <w:kern w:val="0"/>
          <w:sz w:val="30"/>
          <w:szCs w:val="30"/>
          <w:highlight w:val="none"/>
          <w:lang w:val="en-US" w:eastAsia="zh-CN"/>
        </w:rPr>
        <w:t>202</w:t>
      </w:r>
      <w:r>
        <w:rPr>
          <w:rFonts w:hint="eastAsia" w:ascii="Times New Roman" w:hAnsi="Times New Roman" w:eastAsia="仿宋_GB2312" w:cs="Times New Roman"/>
          <w:b/>
          <w:bCs/>
          <w:color w:val="auto"/>
          <w:kern w:val="0"/>
          <w:sz w:val="30"/>
          <w:szCs w:val="30"/>
          <w:highlight w:val="none"/>
          <w:lang w:val="en-US" w:eastAsia="zh-CN"/>
        </w:rPr>
        <w:t>5</w:t>
      </w:r>
      <w:r>
        <w:rPr>
          <w:rFonts w:hint="default" w:ascii="Times New Roman" w:hAnsi="Times New Roman" w:eastAsia="仿宋_GB2312" w:cs="Times New Roman"/>
          <w:b/>
          <w:bCs/>
          <w:color w:val="auto"/>
          <w:kern w:val="0"/>
          <w:sz w:val="30"/>
          <w:szCs w:val="30"/>
          <w:highlight w:val="none"/>
          <w:lang w:val="en-US" w:eastAsia="zh-CN"/>
        </w:rPr>
        <w:t>年股东决定情况：</w:t>
      </w:r>
    </w:p>
    <w:p>
      <w:pPr>
        <w:pStyle w:val="7"/>
        <w:keepNext w:val="0"/>
        <w:keepLines w:val="0"/>
        <w:pageBreakBefore w:val="0"/>
        <w:numPr>
          <w:ilvl w:val="0"/>
          <w:numId w:val="2"/>
        </w:numPr>
        <w:kinsoku/>
        <w:wordWrap/>
        <w:overflowPunct/>
        <w:topLinePunct w:val="0"/>
        <w:bidi w:val="0"/>
        <w:snapToGrid/>
        <w:spacing w:line="560" w:lineRule="exact"/>
        <w:jc w:val="both"/>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根据《公司法》及《重庆北碚稠州村镇银行公司章程》，重庆北碚稠州村镇银行有限责任公司股东于202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1</w:t>
      </w:r>
      <w:r>
        <w:rPr>
          <w:rFonts w:hint="default" w:ascii="Times New Roman" w:hAnsi="Times New Roman" w:eastAsia="仿宋_GB2312" w:cs="Times New Roman"/>
          <w:color w:val="auto"/>
          <w:sz w:val="30"/>
          <w:szCs w:val="30"/>
          <w:highlight w:val="none"/>
          <w:lang w:val="en-US" w:eastAsia="zh-CN"/>
        </w:rPr>
        <w:t>月2</w:t>
      </w:r>
      <w:r>
        <w:rPr>
          <w:rFonts w:hint="eastAsia" w:ascii="Times New Roman" w:hAnsi="Times New Roman" w:eastAsia="仿宋_GB2312"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lang w:val="en-US" w:eastAsia="zh-CN"/>
        </w:rPr>
        <w:t>日作出如下决定：</w:t>
      </w:r>
      <w:r>
        <w:rPr>
          <w:rFonts w:hint="eastAsia" w:ascii="Times New Roman" w:hAnsi="Times New Roman" w:eastAsia="仿宋_GB2312" w:cs="Times New Roman"/>
          <w:color w:val="auto"/>
          <w:sz w:val="30"/>
          <w:szCs w:val="30"/>
          <w:highlight w:val="none"/>
          <w:lang w:val="en-US" w:eastAsia="zh-CN"/>
        </w:rPr>
        <w:t>同意法定代表人变更为金庆洪、同意《免去羊茂卿公司董事职务》的议案、同意《任命金庆洪为公司董事》的议案、同意《新公司章程修订》的议案、同意《关于重庆北碚稠州村镇银行董事会对董事长授权方案》的议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rPr>
      </w:pPr>
      <w:r>
        <w:rPr>
          <w:rFonts w:hint="eastAsia" w:eastAsia="仿宋_GB2312" w:cs="Times New Roman"/>
          <w:color w:val="auto"/>
          <w:sz w:val="30"/>
          <w:szCs w:val="30"/>
          <w:highlight w:val="none"/>
          <w:lang w:val="en-US" w:eastAsia="zh-CN"/>
        </w:rPr>
        <w:t>2.</w:t>
      </w:r>
      <w:r>
        <w:rPr>
          <w:rFonts w:hint="default" w:ascii="Times New Roman" w:hAnsi="Times New Roman" w:eastAsia="仿宋_GB2312" w:cs="Times New Roman"/>
          <w:color w:val="auto"/>
          <w:sz w:val="30"/>
          <w:szCs w:val="30"/>
          <w:highlight w:val="none"/>
          <w:lang w:val="en-US" w:eastAsia="zh-CN"/>
        </w:rPr>
        <w:t>根据《公司法》及《重庆北碚稠州村镇银行公司章程》，重庆北碚稠州村镇银行有限责任公司股东于202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年3月2</w:t>
      </w:r>
      <w:r>
        <w:rPr>
          <w:rFonts w:hint="eastAsia" w:ascii="Times New Roman" w:hAnsi="Times New Roman" w:eastAsia="仿宋_GB2312" w:cs="Times New Roman"/>
          <w:color w:val="auto"/>
          <w:sz w:val="30"/>
          <w:szCs w:val="30"/>
          <w:highlight w:val="none"/>
          <w:lang w:val="en-US" w:eastAsia="zh-CN"/>
        </w:rPr>
        <w:t>6</w:t>
      </w:r>
      <w:r>
        <w:rPr>
          <w:rFonts w:hint="default" w:ascii="Times New Roman" w:hAnsi="Times New Roman" w:eastAsia="仿宋_GB2312" w:cs="Times New Roman"/>
          <w:color w:val="auto"/>
          <w:sz w:val="30"/>
          <w:szCs w:val="30"/>
          <w:highlight w:val="none"/>
          <w:lang w:val="en-US" w:eastAsia="zh-CN"/>
        </w:rPr>
        <w:t>日作出如下决定：同意</w:t>
      </w:r>
      <w:r>
        <w:rPr>
          <w:rFonts w:hint="eastAsia" w:ascii="Times New Roman" w:hAnsi="Times New Roman" w:eastAsia="仿宋_GB2312" w:cs="Times New Roman"/>
          <w:color w:val="auto"/>
          <w:sz w:val="30"/>
          <w:szCs w:val="30"/>
          <w:highlight w:val="none"/>
          <w:lang w:val="en-US" w:eastAsia="zh-CN"/>
        </w:rPr>
        <w:t xml:space="preserve">《重庆北碚稠州村镇银行2024年度董事会工 </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作报告》的议案</w:t>
      </w:r>
      <w:r>
        <w:rPr>
          <w:rFonts w:hint="default" w:ascii="Times New Roman" w:hAnsi="Times New Roman" w:eastAsia="仿宋_GB2312" w:cs="Times New Roman"/>
          <w:color w:val="auto"/>
          <w:sz w:val="30"/>
          <w:szCs w:val="30"/>
          <w:highlight w:val="none"/>
          <w:lang w:val="en-US" w:eastAsia="zh-CN"/>
        </w:rPr>
        <w:t>、同意</w:t>
      </w:r>
      <w:r>
        <w:rPr>
          <w:rFonts w:hint="eastAsia" w:ascii="Times New Roman" w:hAnsi="Times New Roman" w:eastAsia="仿宋_GB2312" w:cs="Times New Roman"/>
          <w:color w:val="auto"/>
          <w:sz w:val="30"/>
          <w:szCs w:val="30"/>
          <w:highlight w:val="none"/>
          <w:lang w:val="en-US" w:eastAsia="zh-CN"/>
        </w:rPr>
        <w:t>《重庆北碚稠州村镇银行2024年度财务决算及2025年度财务预算的报告》的</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《关于重庆北碚稠州村镇银行2024年度利润分配方案》的议案</w:t>
      </w:r>
      <w:r>
        <w:rPr>
          <w:rFonts w:hint="default" w:ascii="Times New Roman" w:hAnsi="Times New Roman" w:eastAsia="仿宋_GB2312" w:cs="Times New Roman"/>
          <w:color w:val="auto"/>
          <w:sz w:val="30"/>
          <w:szCs w:val="30"/>
          <w:highlight w:val="none"/>
          <w:lang w:val="en-US" w:eastAsia="zh-CN"/>
        </w:rPr>
        <w:t>、同意</w:t>
      </w:r>
      <w:r>
        <w:rPr>
          <w:rFonts w:hint="eastAsia" w:ascii="Times New Roman" w:hAnsi="Times New Roman" w:eastAsia="仿宋_GB2312" w:cs="Times New Roman"/>
          <w:color w:val="auto"/>
          <w:sz w:val="30"/>
          <w:szCs w:val="30"/>
          <w:highlight w:val="none"/>
          <w:lang w:val="en-US" w:eastAsia="zh-CN"/>
        </w:rPr>
        <w:t>《重庆北碚稠州村镇银行2024年度经营情况和2025年度工作重点的报告》</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《关于重庆北碚稠州村镇银行2024年度高级管理层经营目标考核情况》</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《关于重庆北碚稠州村镇银行高级管理层2025年度薪酬绩效考核办法》</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《重庆北碚稠州村镇银行2024年度资本管理及资本补充能力报告》</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《重庆北碚稠州村镇银行资本三年规划 (2025-2027)》的</w:t>
      </w:r>
      <w:r>
        <w:rPr>
          <w:rFonts w:hint="default" w:ascii="Times New Roman" w:hAnsi="Times New Roman" w:eastAsia="仿宋_GB2312" w:cs="Times New Roman"/>
          <w:color w:val="auto"/>
          <w:sz w:val="30"/>
          <w:szCs w:val="30"/>
          <w:highlight w:val="none"/>
          <w:lang w:val="en-US" w:eastAsia="zh-CN"/>
        </w:rPr>
        <w:t>议案、同意</w:t>
      </w:r>
      <w:r>
        <w:rPr>
          <w:rFonts w:hint="eastAsia" w:ascii="Times New Roman" w:hAnsi="Times New Roman" w:eastAsia="仿宋_GB2312" w:cs="Times New Roman"/>
          <w:color w:val="auto"/>
          <w:sz w:val="30"/>
          <w:szCs w:val="30"/>
          <w:highlight w:val="none"/>
          <w:lang w:val="en-US" w:eastAsia="zh-CN"/>
        </w:rPr>
        <w:t>《重庆北碚稠州村镇银行2025年流动性风险偏好和流动性风险管理策略、政策和程序》</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《重庆北碚稠州村镇银行三年发展规划 (2025~2027)的</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《关于重庆北碚稠州村镇银行2025年度业务发展规划》的</w:t>
      </w:r>
      <w:r>
        <w:rPr>
          <w:rFonts w:hint="default" w:ascii="Times New Roman" w:hAnsi="Times New Roman" w:eastAsia="仿宋_GB2312" w:cs="Times New Roman"/>
          <w:color w:val="auto"/>
          <w:sz w:val="30"/>
          <w:szCs w:val="30"/>
          <w:highlight w:val="none"/>
          <w:lang w:val="en-US" w:eastAsia="zh-CN"/>
        </w:rPr>
        <w:t>议案、同意</w:t>
      </w:r>
      <w:r>
        <w:rPr>
          <w:rFonts w:hint="eastAsia" w:ascii="Times New Roman" w:hAnsi="Times New Roman" w:eastAsia="仿宋_GB2312" w:cs="Times New Roman"/>
          <w:color w:val="auto"/>
          <w:sz w:val="30"/>
          <w:szCs w:val="30"/>
          <w:highlight w:val="none"/>
          <w:lang w:val="en-US" w:eastAsia="zh-CN"/>
        </w:rPr>
        <w:t>《关于聘请2025年度外部审计机构》</w:t>
      </w:r>
      <w:r>
        <w:rPr>
          <w:rFonts w:hint="default" w:ascii="Times New Roman" w:hAnsi="Times New Roman" w:eastAsia="仿宋_GB2312" w:cs="Times New Roman"/>
          <w:color w:val="auto"/>
          <w:sz w:val="30"/>
          <w:szCs w:val="30"/>
          <w:highlight w:val="none"/>
          <w:lang w:val="en-US" w:eastAsia="zh-CN"/>
        </w:rPr>
        <w:t>的议案、同意</w:t>
      </w:r>
      <w:r>
        <w:rPr>
          <w:rFonts w:hint="eastAsia" w:ascii="Times New Roman" w:hAnsi="Times New Roman" w:eastAsia="仿宋_GB2312" w:cs="Times New Roman"/>
          <w:color w:val="auto"/>
          <w:sz w:val="30"/>
          <w:szCs w:val="30"/>
          <w:highlight w:val="none"/>
          <w:lang w:val="en-US" w:eastAsia="zh-CN"/>
        </w:rPr>
        <w:t>《关于重新提名重庆北碚稠州村镇银行有限责任公司第二届董事会组成人选》的</w:t>
      </w:r>
      <w:r>
        <w:rPr>
          <w:rFonts w:hint="default" w:ascii="Times New Roman" w:hAnsi="Times New Roman" w:eastAsia="仿宋_GB2312" w:cs="Times New Roman"/>
          <w:color w:val="auto"/>
          <w:sz w:val="30"/>
          <w:szCs w:val="30"/>
          <w:highlight w:val="none"/>
          <w:lang w:val="en-US" w:eastAsia="zh-CN"/>
        </w:rPr>
        <w:t>的议案</w:t>
      </w:r>
      <w:r>
        <w:rPr>
          <w:rFonts w:hint="eastAsia" w:ascii="Times New Roman" w:hAnsi="Times New Roman" w:eastAsia="仿宋_GB2312" w:cs="Times New Roman"/>
          <w:color w:val="auto"/>
          <w:sz w:val="30"/>
          <w:szCs w:val="30"/>
          <w:highlight w:val="none"/>
          <w:lang w:val="en-US" w:eastAsia="zh-CN"/>
        </w:rPr>
        <w:t>、同意《关于重庆北碚稠州村镇银行有限责任公司总部选址及搬迁规划》的议案、同意《重庆北碚稠州村镇银行2024年度监事会工作报告》的议案、同意《重庆</w:t>
      </w:r>
      <w:r>
        <w:rPr>
          <w:rFonts w:hint="eastAsia" w:eastAsia="仿宋_GB2312" w:cs="Times New Roman"/>
          <w:color w:val="auto"/>
          <w:sz w:val="30"/>
          <w:szCs w:val="30"/>
          <w:highlight w:val="none"/>
          <w:lang w:val="en-US" w:eastAsia="zh-CN"/>
        </w:rPr>
        <w:t>北碚</w:t>
      </w:r>
      <w:r>
        <w:rPr>
          <w:rFonts w:hint="eastAsia" w:ascii="Times New Roman" w:hAnsi="Times New Roman" w:eastAsia="仿宋_GB2312" w:cs="Times New Roman"/>
          <w:color w:val="auto"/>
          <w:sz w:val="30"/>
          <w:szCs w:val="30"/>
          <w:highlight w:val="none"/>
          <w:lang w:val="en-US" w:eastAsia="zh-CN"/>
        </w:rPr>
        <w:t>稠州村镇银行监事会对董事会、董事及高级管理层、高级管理人员2024年度履职评价的报告》的议案、同意《重庆</w:t>
      </w:r>
      <w:r>
        <w:rPr>
          <w:rFonts w:hint="eastAsia" w:eastAsia="仿宋_GB2312" w:cs="Times New Roman"/>
          <w:color w:val="auto"/>
          <w:sz w:val="30"/>
          <w:szCs w:val="30"/>
          <w:highlight w:val="none"/>
          <w:lang w:val="en-US" w:eastAsia="zh-CN"/>
        </w:rPr>
        <w:t>北碚</w:t>
      </w:r>
      <w:r>
        <w:rPr>
          <w:rFonts w:hint="eastAsia" w:ascii="Times New Roman" w:hAnsi="Times New Roman" w:eastAsia="仿宋_GB2312" w:cs="Times New Roman"/>
          <w:color w:val="auto"/>
          <w:sz w:val="30"/>
          <w:szCs w:val="30"/>
          <w:highlight w:val="none"/>
          <w:lang w:val="en-US" w:eastAsia="zh-CN"/>
        </w:rPr>
        <w:t>稠州村镇银行监事会对监事2024 年度履职评价的报告》的议案、 同意《关于重新提名</w:t>
      </w:r>
      <w:r>
        <w:rPr>
          <w:rFonts w:hint="eastAsia" w:eastAsia="仿宋_GB2312" w:cs="Times New Roman"/>
          <w:color w:val="auto"/>
          <w:sz w:val="30"/>
          <w:szCs w:val="30"/>
          <w:highlight w:val="none"/>
          <w:lang w:val="en-US" w:eastAsia="zh-CN"/>
        </w:rPr>
        <w:t>重庆北碚</w:t>
      </w:r>
      <w:r>
        <w:rPr>
          <w:rFonts w:hint="eastAsia" w:ascii="Times New Roman" w:hAnsi="Times New Roman" w:eastAsia="仿宋_GB2312" w:cs="Times New Roman"/>
          <w:color w:val="auto"/>
          <w:sz w:val="30"/>
          <w:szCs w:val="30"/>
          <w:highlight w:val="none"/>
          <w:lang w:val="en-US" w:eastAsia="zh-CN"/>
        </w:rPr>
        <w:t xml:space="preserve">稠州村镇银行有限贡任公司第二届监事会组成人选》的议案。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lang w:val="en-US" w:eastAsia="zh-CN"/>
        </w:rPr>
        <w:t>.根据《公司法》及《重庆北碚稠州村镇银行公司章程》，重庆北碚稠州村镇银行有限责任公司股东于202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lang w:val="en-US" w:eastAsia="zh-CN"/>
        </w:rPr>
        <w:t>月</w:t>
      </w:r>
      <w:r>
        <w:rPr>
          <w:rFonts w:hint="eastAsia" w:ascii="Times New Roman" w:hAnsi="Times New Roman" w:eastAsia="仿宋_GB2312" w:cs="Times New Roman"/>
          <w:color w:val="auto"/>
          <w:sz w:val="30"/>
          <w:szCs w:val="30"/>
          <w:highlight w:val="none"/>
          <w:lang w:val="en-US" w:eastAsia="zh-CN"/>
        </w:rPr>
        <w:t>8</w:t>
      </w:r>
      <w:r>
        <w:rPr>
          <w:rFonts w:hint="default" w:ascii="Times New Roman" w:hAnsi="Times New Roman" w:eastAsia="仿宋_GB2312" w:cs="Times New Roman"/>
          <w:color w:val="auto"/>
          <w:sz w:val="30"/>
          <w:szCs w:val="30"/>
          <w:highlight w:val="none"/>
          <w:lang w:val="en-US" w:eastAsia="zh-CN"/>
        </w:rPr>
        <w:t>日作出如下决定：</w:t>
      </w:r>
      <w:r>
        <w:rPr>
          <w:rFonts w:hint="eastAsia" w:ascii="Times New Roman" w:hAnsi="Times New Roman" w:eastAsia="仿宋_GB2312" w:cs="Times New Roman"/>
          <w:color w:val="auto"/>
          <w:sz w:val="30"/>
          <w:szCs w:val="30"/>
          <w:highlight w:val="none"/>
          <w:lang w:val="en-US" w:eastAsia="zh-CN"/>
        </w:rPr>
        <w:t>同意《重庆北碚稠州村镇银行有限贵任公司董事会授权书》的议案；同意《重庆北碚稠州村镇银行内部审计章程》和《重庆北碚稠州村镇银行内部审计规程》</w:t>
      </w:r>
      <w:r>
        <w:rPr>
          <w:rFonts w:hint="default" w:ascii="Times New Roman" w:hAnsi="Times New Roman" w:eastAsia="仿宋_GB2312" w:cs="Times New Roman"/>
          <w:color w:val="auto"/>
          <w:sz w:val="30"/>
          <w:szCs w:val="30"/>
          <w:highlight w:val="none"/>
          <w:lang w:val="en-US" w:eastAsia="zh-CN"/>
        </w:rPr>
        <w:t>的议案。</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根据《公司法》和《重庆北碚稠州村镇银行公司章程》，重庆北碚稠州村镇银行有限责任公司股东于202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6</w:t>
      </w:r>
      <w:r>
        <w:rPr>
          <w:rFonts w:hint="default" w:ascii="Times New Roman" w:hAnsi="Times New Roman" w:eastAsia="仿宋_GB2312" w:cs="Times New Roman"/>
          <w:color w:val="auto"/>
          <w:sz w:val="30"/>
          <w:szCs w:val="30"/>
          <w:highlight w:val="none"/>
          <w:lang w:val="en-US" w:eastAsia="zh-CN"/>
        </w:rPr>
        <w:t>月</w:t>
      </w:r>
      <w:r>
        <w:rPr>
          <w:rFonts w:hint="eastAsia"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lang w:val="en-US" w:eastAsia="zh-CN"/>
        </w:rPr>
        <w:t>日作出如下决定：</w:t>
      </w:r>
      <w:r>
        <w:rPr>
          <w:rFonts w:hint="eastAsia" w:ascii="Times New Roman" w:hAnsi="Times New Roman" w:eastAsia="仿宋_GB2312" w:cs="Times New Roman"/>
          <w:color w:val="auto"/>
          <w:sz w:val="30"/>
          <w:szCs w:val="30"/>
          <w:highlight w:val="none"/>
          <w:lang w:val="en-US" w:eastAsia="zh-CN"/>
        </w:rPr>
        <w:t>同意《关于胡天进先生辞去重庆北碚稠州村镇银行有限责任公司行长助理》的议案、《重庆北碚稠州村镇银行反洗钱及反恐怖融资工作审计报告》的议案、同意《重庆北碚稠州村镇银行消费者权益保护工作审计报告的议案》、同意《重庆北碚稠州村镇银行有限责任公司监事会关于上会会计师事务所(特殊普通合伙)审计工作的评估报告的议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lang w:val="en-US" w:eastAsia="zh-CN"/>
        </w:rPr>
        <w:t>根据《公司法》和《重庆北碚稠州村镇银行公司章程》，重庆北碚稠州村镇银行有限责任公司股东于202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6</w:t>
      </w:r>
      <w:r>
        <w:rPr>
          <w:rFonts w:hint="default" w:ascii="Times New Roman" w:hAnsi="Times New Roman" w:eastAsia="仿宋_GB2312" w:cs="Times New Roman"/>
          <w:color w:val="auto"/>
          <w:sz w:val="30"/>
          <w:szCs w:val="30"/>
          <w:highlight w:val="none"/>
          <w:lang w:val="en-US" w:eastAsia="zh-CN"/>
        </w:rPr>
        <w:t>月</w:t>
      </w:r>
      <w:r>
        <w:rPr>
          <w:rFonts w:hint="eastAsia" w:ascii="Times New Roman" w:hAnsi="Times New Roman" w:eastAsia="仿宋_GB2312" w:cs="Times New Roman"/>
          <w:color w:val="auto"/>
          <w:sz w:val="30"/>
          <w:szCs w:val="30"/>
          <w:highlight w:val="none"/>
          <w:lang w:val="en-US" w:eastAsia="zh-CN"/>
        </w:rPr>
        <w:t>12</w:t>
      </w:r>
      <w:r>
        <w:rPr>
          <w:rFonts w:hint="default" w:ascii="Times New Roman" w:hAnsi="Times New Roman" w:eastAsia="仿宋_GB2312" w:cs="Times New Roman"/>
          <w:color w:val="auto"/>
          <w:sz w:val="30"/>
          <w:szCs w:val="30"/>
          <w:highlight w:val="none"/>
          <w:lang w:val="en-US" w:eastAsia="zh-CN"/>
        </w:rPr>
        <w:t>日作出如下决定：</w:t>
      </w:r>
      <w:r>
        <w:rPr>
          <w:rFonts w:hint="eastAsia" w:ascii="Times New Roman" w:hAnsi="Times New Roman" w:eastAsia="仿宋_GB2312" w:cs="Times New Roman"/>
          <w:color w:val="auto"/>
          <w:sz w:val="30"/>
          <w:szCs w:val="30"/>
          <w:highlight w:val="none"/>
          <w:lang w:val="en-US" w:eastAsia="zh-CN"/>
        </w:rPr>
        <w:t>同意《关于重庆北碚稠州村镇银行2025年度董事会对董事长授权方案》的议案；  同意《关于重庆北碚稠州村镇银行2025年度董事会对行长授权方案》的议案。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根据《公司法》和《重庆北碚稠州村镇银行公司章程》，重庆北碚稠州村镇银行有限责任公司股东于202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11</w:t>
      </w:r>
      <w:r>
        <w:rPr>
          <w:rFonts w:hint="default" w:ascii="Times New Roman" w:hAnsi="Times New Roman" w:eastAsia="仿宋_GB2312" w:cs="Times New Roman"/>
          <w:color w:val="auto"/>
          <w:sz w:val="30"/>
          <w:szCs w:val="30"/>
          <w:highlight w:val="none"/>
          <w:lang w:val="en-US" w:eastAsia="zh-CN"/>
        </w:rPr>
        <w:t>月</w:t>
      </w:r>
      <w:r>
        <w:rPr>
          <w:rFonts w:hint="eastAsia" w:ascii="Times New Roman" w:hAnsi="Times New Roman" w:eastAsia="仿宋_GB2312" w:cs="Times New Roman"/>
          <w:color w:val="auto"/>
          <w:sz w:val="30"/>
          <w:szCs w:val="30"/>
          <w:highlight w:val="none"/>
          <w:lang w:val="en-US" w:eastAsia="zh-CN"/>
        </w:rPr>
        <w:t>17</w:t>
      </w:r>
      <w:r>
        <w:rPr>
          <w:rFonts w:hint="default" w:ascii="Times New Roman" w:hAnsi="Times New Roman" w:eastAsia="仿宋_GB2312" w:cs="Times New Roman"/>
          <w:color w:val="auto"/>
          <w:sz w:val="30"/>
          <w:szCs w:val="30"/>
          <w:highlight w:val="none"/>
          <w:lang w:val="en-US" w:eastAsia="zh-CN"/>
        </w:rPr>
        <w:t>日作出如下决定：</w:t>
      </w:r>
      <w:r>
        <w:rPr>
          <w:rFonts w:hint="eastAsia" w:ascii="Times New Roman" w:hAnsi="Times New Roman" w:eastAsia="仿宋_GB2312" w:cs="Times New Roman"/>
          <w:color w:val="auto"/>
          <w:sz w:val="30"/>
          <w:szCs w:val="30"/>
          <w:highlight w:val="none"/>
          <w:lang w:val="en-US" w:eastAsia="zh-CN"/>
        </w:rPr>
        <w:t>同意《重庆北碚稠州村镇银行关于存款保险风险警示函的整改报告》的议案。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6.</w:t>
      </w:r>
      <w:r>
        <w:rPr>
          <w:rFonts w:hint="default" w:ascii="Times New Roman" w:hAnsi="Times New Roman" w:eastAsia="仿宋_GB2312" w:cs="Times New Roman"/>
          <w:color w:val="auto"/>
          <w:sz w:val="30"/>
          <w:szCs w:val="30"/>
          <w:highlight w:val="none"/>
          <w:lang w:val="en-US" w:eastAsia="zh-CN"/>
        </w:rPr>
        <w:t>根据《公司法》和《重庆北碚稠州村镇银行公司章程》，重庆北碚稠州村镇银行有限责任公司股东于202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12</w:t>
      </w:r>
      <w:r>
        <w:rPr>
          <w:rFonts w:hint="default" w:ascii="Times New Roman" w:hAnsi="Times New Roman" w:eastAsia="仿宋_GB2312" w:cs="Times New Roman"/>
          <w:color w:val="auto"/>
          <w:sz w:val="30"/>
          <w:szCs w:val="30"/>
          <w:highlight w:val="none"/>
          <w:lang w:val="en-US" w:eastAsia="zh-CN"/>
        </w:rPr>
        <w:t>月</w:t>
      </w:r>
      <w:r>
        <w:rPr>
          <w:rFonts w:hint="eastAsia" w:ascii="Times New Roman" w:hAnsi="Times New Roman" w:eastAsia="仿宋_GB2312"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lang w:val="en-US" w:eastAsia="zh-CN"/>
        </w:rPr>
        <w:t>日作出如下决定：</w:t>
      </w:r>
      <w:r>
        <w:rPr>
          <w:rFonts w:hint="eastAsia" w:ascii="Times New Roman" w:hAnsi="Times New Roman" w:eastAsia="仿宋_GB2312" w:cs="Times New Roman"/>
          <w:color w:val="auto"/>
          <w:sz w:val="30"/>
          <w:szCs w:val="30"/>
          <w:highlight w:val="none"/>
          <w:lang w:val="en-US" w:eastAsia="zh-CN"/>
        </w:rPr>
        <w:t xml:space="preserve">同意《关于修订重庆北碚稠州村镇银行有限责任公司公司章程》的议案、同意《关于修订重庆北碚稠州村镇银行有限责任公司董事会审计委员会工作规则》的议案、同意《关于不再设立监事会、解聘现任监事》的议案、同意《本公司不再设立监事会》的议案、同意《解聘章宜、樊国华、王冬全体现任监事职务》的议案、 同意《关于提名重庆北碚稠州村镇银行有限责任公司第二届重事会任期届满进行换届选举及相关事宜》的议案、 </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同意《关于重庆北碚稠州村镇银行有限责任公司2024年股东年度评估的报告》的议案、同意《关于重庆北储稠州村镇银行2025年半年度工作总结和下半年工作思路报告》的议案、同意《关于2024年流动性风险应急计划评估报告》的议案、 同意《关于2024年关联交易年度报告》的议案、同意《关于调整公司治理结构、办公地址搬迁及董事换届侯选人的临时披露公告》的议案、同意《关于2024年年度数据治理报告》的议案。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7</w:t>
      </w:r>
      <w:r>
        <w:rPr>
          <w:rFonts w:hint="default" w:ascii="Times New Roman" w:hAnsi="Times New Roman" w:eastAsia="仿宋_GB2312" w:cs="Times New Roman"/>
          <w:color w:val="auto"/>
          <w:sz w:val="30"/>
          <w:szCs w:val="30"/>
          <w:highlight w:val="none"/>
          <w:lang w:val="en-US" w:eastAsia="zh-CN"/>
        </w:rPr>
        <w:t>.根据《公司法》和《重庆北碚稠州村镇银行公司章程》，重庆北碚稠州村镇银行有限责任公司股东于2024年12月16日作出如下决定：同意《选举邓兰平先生为重庆北碚稠州村镇银行有限责任公司》董事、同意《姜蕾女士辞去重庆北碚稠州村镇银行有限责任公司监事会主席、监事》的议案、同意《选举章宜女士为重庆北碚稠州村镇银行有限责任公司》监事、同意《重庆北碚稠州村镇银行有限责任公司董（监）事和高级管理人员履职问责办法》的议案。</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8.</w:t>
      </w:r>
      <w:r>
        <w:rPr>
          <w:rFonts w:hint="default" w:ascii="Times New Roman" w:hAnsi="Times New Roman" w:eastAsia="仿宋_GB2312" w:cs="Times New Roman"/>
          <w:color w:val="auto"/>
          <w:sz w:val="30"/>
          <w:szCs w:val="30"/>
          <w:highlight w:val="none"/>
          <w:lang w:val="en-US" w:eastAsia="zh-CN"/>
        </w:rPr>
        <w:t>根据《公司法》和《重庆北碚稠州村镇银行公司章程》，重庆北碚稠州村镇银行有限责任公司股东于202</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lang w:val="en-US" w:eastAsia="zh-CN"/>
        </w:rPr>
        <w:t>年</w:t>
      </w:r>
      <w:r>
        <w:rPr>
          <w:rFonts w:hint="eastAsia" w:ascii="Times New Roman" w:hAnsi="Times New Roman" w:eastAsia="仿宋_GB2312" w:cs="Times New Roman"/>
          <w:color w:val="auto"/>
          <w:sz w:val="30"/>
          <w:szCs w:val="30"/>
          <w:highlight w:val="none"/>
          <w:lang w:val="en-US" w:eastAsia="zh-CN"/>
        </w:rPr>
        <w:t>12</w:t>
      </w:r>
      <w:r>
        <w:rPr>
          <w:rFonts w:hint="default" w:ascii="Times New Roman" w:hAnsi="Times New Roman" w:eastAsia="仿宋_GB2312" w:cs="Times New Roman"/>
          <w:color w:val="auto"/>
          <w:sz w:val="30"/>
          <w:szCs w:val="30"/>
          <w:highlight w:val="none"/>
          <w:lang w:val="en-US" w:eastAsia="zh-CN"/>
        </w:rPr>
        <w:t>月</w:t>
      </w:r>
      <w:r>
        <w:rPr>
          <w:rFonts w:hint="eastAsia" w:ascii="Times New Roman" w:hAnsi="Times New Roman" w:eastAsia="仿宋_GB2312" w:cs="Times New Roman"/>
          <w:color w:val="auto"/>
          <w:sz w:val="30"/>
          <w:szCs w:val="30"/>
          <w:highlight w:val="none"/>
          <w:lang w:val="en-US" w:eastAsia="zh-CN"/>
        </w:rPr>
        <w:t>22</w:t>
      </w:r>
      <w:r>
        <w:rPr>
          <w:rFonts w:hint="default" w:ascii="Times New Roman" w:hAnsi="Times New Roman" w:eastAsia="仿宋_GB2312" w:cs="Times New Roman"/>
          <w:color w:val="auto"/>
          <w:sz w:val="30"/>
          <w:szCs w:val="30"/>
          <w:highlight w:val="none"/>
          <w:lang w:val="en-US" w:eastAsia="zh-CN"/>
        </w:rPr>
        <w:t>日作出如下决定：</w:t>
      </w:r>
      <w:r>
        <w:rPr>
          <w:rFonts w:hint="eastAsia" w:ascii="Times New Roman" w:hAnsi="Times New Roman" w:eastAsia="仿宋_GB2312" w:cs="Times New Roman"/>
          <w:color w:val="auto"/>
          <w:sz w:val="30"/>
          <w:szCs w:val="30"/>
          <w:highlight w:val="none"/>
          <w:lang w:val="en-US" w:eastAsia="zh-CN"/>
        </w:rPr>
        <w:t>同意《2025年董事会对行长的授权书》的议案。</w:t>
      </w:r>
    </w:p>
    <w:p>
      <w:pPr>
        <w:pStyle w:val="3"/>
        <w:keepNext w:val="0"/>
        <w:keepLines w:val="0"/>
        <w:pageBreakBefore w:val="0"/>
        <w:numPr>
          <w:ilvl w:val="0"/>
          <w:numId w:val="0"/>
        </w:numPr>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en-US" w:eastAsia="zh-CN"/>
        </w:rPr>
        <w:t>（</w:t>
      </w:r>
      <w:r>
        <w:rPr>
          <w:rFonts w:hint="eastAsia" w:ascii="Times New Roman" w:hAnsi="Times New Roman" w:eastAsia="仿宋_GB2312" w:cs="Times New Roman"/>
          <w:color w:val="auto"/>
          <w:sz w:val="30"/>
          <w:szCs w:val="30"/>
          <w:highlight w:val="none"/>
          <w:lang w:val="en-US" w:eastAsia="zh-CN"/>
        </w:rPr>
        <w:t>四</w:t>
      </w:r>
      <w:r>
        <w:rPr>
          <w:rFonts w:hint="default" w:ascii="Times New Roman" w:hAnsi="Times New Roman" w:eastAsia="仿宋_GB2312" w:cs="Times New Roman"/>
          <w:color w:val="auto"/>
          <w:sz w:val="30"/>
          <w:szCs w:val="30"/>
          <w:highlight w:val="none"/>
          <w:lang w:val="en-US" w:eastAsia="zh-CN"/>
        </w:rPr>
        <w:t>）董事会职责</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color w:val="auto"/>
          <w:sz w:val="30"/>
          <w:szCs w:val="30"/>
          <w:highlight w:val="none"/>
          <w:lang w:val="zh-CN"/>
        </w:rPr>
      </w:pPr>
      <w:r>
        <w:rPr>
          <w:rFonts w:hint="default" w:ascii="Times New Roman" w:hAnsi="Times New Roman" w:eastAsia="仿宋_GB2312" w:cs="Times New Roman"/>
          <w:color w:val="auto"/>
          <w:kern w:val="0"/>
          <w:sz w:val="30"/>
          <w:szCs w:val="30"/>
          <w:highlight w:val="none"/>
          <w:lang w:val="en-US" w:eastAsia="zh-CN"/>
        </w:rPr>
        <w:t>董事会职责：按照我行《公司章程》</w:t>
      </w:r>
      <w:r>
        <w:rPr>
          <w:rFonts w:hint="default" w:ascii="Times New Roman" w:hAnsi="Times New Roman" w:eastAsia="仿宋_GB2312" w:cs="Times New Roman"/>
          <w:color w:val="auto"/>
          <w:sz w:val="30"/>
          <w:szCs w:val="30"/>
          <w:highlight w:val="none"/>
          <w:lang w:val="zh-CN"/>
        </w:rPr>
        <w:t>董事会行使下列职权：</w:t>
      </w:r>
    </w:p>
    <w:p>
      <w:pPr>
        <w:autoSpaceDE w:val="0"/>
        <w:autoSpaceDN w:val="0"/>
        <w:adjustRightInd w:val="0"/>
        <w:spacing w:line="560" w:lineRule="exact"/>
        <w:ind w:firstLine="600"/>
        <w:jc w:val="both"/>
        <w:rPr>
          <w:rFonts w:hint="eastAsia" w:ascii="仿宋_GB2312" w:eastAsia="仿宋_GB2312" w:cs="仿宋_GB2312"/>
          <w:color w:val="auto"/>
          <w:sz w:val="30"/>
          <w:szCs w:val="30"/>
          <w:highlight w:val="none"/>
          <w:lang w:val="zh-CN"/>
        </w:rPr>
      </w:pPr>
      <w:r>
        <w:rPr>
          <w:rFonts w:hint="eastAsia" w:ascii="仿宋_GB2312" w:eastAsia="仿宋_GB2312" w:cs="仿宋_GB2312"/>
          <w:color w:val="auto"/>
          <w:sz w:val="30"/>
          <w:szCs w:val="30"/>
          <w:highlight w:val="none"/>
          <w:lang w:val="en-US" w:eastAsia="zh-CN"/>
        </w:rPr>
        <w:t>1.</w:t>
      </w:r>
      <w:r>
        <w:rPr>
          <w:rFonts w:hint="eastAsia" w:ascii="仿宋_GB2312" w:eastAsia="仿宋_GB2312" w:cs="仿宋_GB2312"/>
          <w:color w:val="auto"/>
          <w:sz w:val="30"/>
          <w:szCs w:val="30"/>
          <w:highlight w:val="none"/>
          <w:lang w:val="zh-CN"/>
        </w:rPr>
        <w:t>向股东报告工作；</w:t>
      </w:r>
    </w:p>
    <w:p>
      <w:pPr>
        <w:autoSpaceDE w:val="0"/>
        <w:autoSpaceDN w:val="0"/>
        <w:adjustRightInd w:val="0"/>
        <w:spacing w:line="560" w:lineRule="exact"/>
        <w:ind w:firstLine="600"/>
        <w:jc w:val="both"/>
        <w:rPr>
          <w:rFonts w:hint="eastAsia" w:ascii="仿宋_GB2312" w:eastAsia="仿宋_GB2312" w:cs="仿宋_GB2312"/>
          <w:color w:val="auto"/>
          <w:sz w:val="30"/>
          <w:szCs w:val="30"/>
          <w:highlight w:val="none"/>
          <w:lang w:val="zh-CN"/>
        </w:rPr>
      </w:pPr>
      <w:r>
        <w:rPr>
          <w:rFonts w:hint="eastAsia" w:ascii="仿宋_GB2312" w:eastAsia="仿宋_GB2312" w:cs="仿宋_GB2312"/>
          <w:color w:val="auto"/>
          <w:sz w:val="30"/>
          <w:szCs w:val="30"/>
          <w:highlight w:val="none"/>
          <w:lang w:val="en-US" w:eastAsia="zh-CN"/>
        </w:rPr>
        <w:t>2.</w:t>
      </w:r>
      <w:r>
        <w:rPr>
          <w:rFonts w:hint="eastAsia" w:ascii="仿宋_GB2312" w:eastAsia="仿宋_GB2312" w:cs="仿宋_GB2312"/>
          <w:color w:val="auto"/>
          <w:sz w:val="30"/>
          <w:szCs w:val="30"/>
          <w:highlight w:val="none"/>
          <w:lang w:val="zh-CN"/>
        </w:rPr>
        <w:t>执行股东的决定；</w:t>
      </w:r>
    </w:p>
    <w:p>
      <w:pPr>
        <w:autoSpaceDE w:val="0"/>
        <w:autoSpaceDN w:val="0"/>
        <w:adjustRightInd w:val="0"/>
        <w:spacing w:line="560" w:lineRule="exact"/>
        <w:ind w:firstLine="600"/>
        <w:jc w:val="both"/>
        <w:rPr>
          <w:rFonts w:hint="eastAsia" w:ascii="仿宋_GB2312" w:eastAsia="仿宋_GB2312" w:cs="仿宋_GB2312"/>
          <w:color w:val="auto"/>
          <w:sz w:val="30"/>
          <w:szCs w:val="30"/>
          <w:highlight w:val="none"/>
          <w:lang w:val="zh-CN"/>
        </w:rPr>
      </w:pPr>
      <w:r>
        <w:rPr>
          <w:rFonts w:hint="eastAsia" w:ascii="仿宋_GB2312" w:eastAsia="仿宋_GB2312" w:cs="仿宋_GB2312"/>
          <w:color w:val="auto"/>
          <w:sz w:val="30"/>
          <w:szCs w:val="30"/>
          <w:highlight w:val="none"/>
          <w:lang w:val="en-US" w:eastAsia="zh-CN"/>
        </w:rPr>
        <w:t>3.</w:t>
      </w:r>
      <w:r>
        <w:rPr>
          <w:rFonts w:hint="eastAsia" w:ascii="仿宋_GB2312" w:eastAsia="仿宋_GB2312" w:cs="仿宋_GB2312"/>
          <w:color w:val="auto"/>
          <w:sz w:val="30"/>
          <w:szCs w:val="30"/>
          <w:highlight w:val="none"/>
          <w:lang w:val="zh-CN"/>
        </w:rPr>
        <w:t>决定本行的经营计划、</w:t>
      </w:r>
      <w:r>
        <w:rPr>
          <w:rFonts w:hint="eastAsia" w:ascii="仿宋_GB2312" w:eastAsia="仿宋_GB2312" w:cs="仿宋_GB2312"/>
          <w:color w:val="auto"/>
          <w:sz w:val="30"/>
          <w:szCs w:val="30"/>
          <w:highlight w:val="none"/>
          <w:lang w:val="en-US" w:eastAsia="zh-CN"/>
        </w:rPr>
        <w:t>投资方案和发展战略</w:t>
      </w:r>
      <w:r>
        <w:rPr>
          <w:rFonts w:hint="eastAsia" w:ascii="仿宋_GB2312" w:eastAsia="仿宋_GB2312" w:cs="仿宋_GB2312"/>
          <w:color w:val="auto"/>
          <w:sz w:val="30"/>
          <w:szCs w:val="30"/>
          <w:highlight w:val="none"/>
          <w:lang w:val="zh-CN"/>
        </w:rPr>
        <w:t>；</w:t>
      </w:r>
    </w:p>
    <w:p>
      <w:pPr>
        <w:autoSpaceDE w:val="0"/>
        <w:autoSpaceDN w:val="0"/>
        <w:adjustRightInd w:val="0"/>
        <w:spacing w:line="560" w:lineRule="exact"/>
        <w:ind w:firstLine="600"/>
        <w:jc w:val="both"/>
        <w:rPr>
          <w:rFonts w:hint="eastAsia" w:ascii="仿宋_GB2312" w:eastAsia="仿宋_GB2312" w:cs="仿宋_GB2312"/>
          <w:color w:val="auto"/>
          <w:sz w:val="30"/>
          <w:szCs w:val="30"/>
          <w:highlight w:val="none"/>
          <w:lang w:val="zh-CN"/>
        </w:rPr>
      </w:pPr>
      <w:r>
        <w:rPr>
          <w:rFonts w:hint="eastAsia" w:ascii="仿宋_GB2312" w:eastAsia="仿宋_GB2312" w:cs="仿宋_GB2312"/>
          <w:color w:val="auto"/>
          <w:sz w:val="30"/>
          <w:szCs w:val="30"/>
          <w:highlight w:val="none"/>
          <w:lang w:val="en-US" w:eastAsia="zh-CN"/>
        </w:rPr>
        <w:t>4.</w:t>
      </w:r>
      <w:r>
        <w:rPr>
          <w:rFonts w:hint="eastAsia" w:ascii="仿宋_GB2312" w:eastAsia="仿宋_GB2312" w:cs="仿宋_GB2312"/>
          <w:color w:val="auto"/>
          <w:sz w:val="30"/>
          <w:szCs w:val="30"/>
          <w:highlight w:val="none"/>
          <w:lang w:val="zh-CN"/>
        </w:rPr>
        <w:t>制订本行的年度财务预算方案、决算方案、利润分配方案和亏损弥补方案；</w:t>
      </w:r>
    </w:p>
    <w:p>
      <w:pPr>
        <w:autoSpaceDE w:val="0"/>
        <w:autoSpaceDN w:val="0"/>
        <w:adjustRightInd w:val="0"/>
        <w:spacing w:line="560" w:lineRule="exact"/>
        <w:ind w:firstLine="600"/>
        <w:jc w:val="both"/>
        <w:rPr>
          <w:rFonts w:hint="eastAsia" w:ascii="仿宋_GB2312" w:eastAsia="仿宋_GB2312" w:cs="仿宋_GB2312"/>
          <w:color w:val="auto"/>
          <w:sz w:val="30"/>
          <w:szCs w:val="30"/>
          <w:highlight w:val="none"/>
          <w:lang w:val="zh-CN"/>
        </w:rPr>
      </w:pPr>
      <w:r>
        <w:rPr>
          <w:rFonts w:hint="eastAsia" w:ascii="仿宋_GB2312" w:eastAsia="仿宋_GB2312" w:cs="仿宋_GB2312"/>
          <w:color w:val="auto"/>
          <w:sz w:val="30"/>
          <w:szCs w:val="30"/>
          <w:highlight w:val="none"/>
          <w:lang w:val="en-US" w:eastAsia="zh-CN"/>
        </w:rPr>
        <w:t>5.</w:t>
      </w:r>
      <w:r>
        <w:rPr>
          <w:rFonts w:hint="eastAsia" w:ascii="仿宋_GB2312" w:eastAsia="仿宋_GB2312" w:cs="仿宋_GB2312"/>
          <w:color w:val="auto"/>
          <w:sz w:val="30"/>
          <w:szCs w:val="30"/>
          <w:highlight w:val="none"/>
          <w:lang w:val="zh-CN"/>
        </w:rPr>
        <w:t>制订本行增加或减少注册资本的方案、</w:t>
      </w:r>
      <w:r>
        <w:rPr>
          <w:rFonts w:hint="eastAsia" w:ascii="仿宋_GB2312" w:eastAsia="仿宋_GB2312" w:cs="仿宋_GB2312"/>
          <w:color w:val="auto"/>
          <w:sz w:val="30"/>
          <w:szCs w:val="30"/>
          <w:highlight w:val="none"/>
          <w:lang w:val="en-US" w:eastAsia="zh-CN"/>
        </w:rPr>
        <w:t>资本补充方案、财务重组方案</w:t>
      </w:r>
      <w:r>
        <w:rPr>
          <w:rFonts w:hint="eastAsia" w:ascii="仿宋_GB2312" w:eastAsia="仿宋_GB2312" w:cs="仿宋_GB2312"/>
          <w:color w:val="auto"/>
          <w:sz w:val="30"/>
          <w:szCs w:val="30"/>
          <w:highlight w:val="none"/>
          <w:lang w:val="zh-CN"/>
        </w:rPr>
        <w:t>；</w:t>
      </w:r>
    </w:p>
    <w:p>
      <w:pPr>
        <w:autoSpaceDE w:val="0"/>
        <w:autoSpaceDN w:val="0"/>
        <w:adjustRightInd w:val="0"/>
        <w:spacing w:line="560" w:lineRule="exact"/>
        <w:ind w:firstLine="600"/>
        <w:jc w:val="both"/>
        <w:rPr>
          <w:rFonts w:hint="eastAsia"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lang w:val="en-US" w:eastAsia="zh-CN"/>
        </w:rPr>
        <w:t>6.制定本行风险管理、内部控制等基本管理制度，并监督制度的执行情况。</w:t>
      </w:r>
    </w:p>
    <w:p>
      <w:pPr>
        <w:autoSpaceDE w:val="0"/>
        <w:autoSpaceDN w:val="0"/>
        <w:adjustRightInd w:val="0"/>
        <w:spacing w:line="560" w:lineRule="exact"/>
        <w:ind w:firstLine="600"/>
        <w:jc w:val="both"/>
        <w:rPr>
          <w:rFonts w:hint="eastAsia"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lang w:val="en-US" w:eastAsia="zh-CN"/>
        </w:rPr>
        <w:t>7.制定本行合并、分立、解散及变更公司形式的方案；</w:t>
      </w:r>
    </w:p>
    <w:p>
      <w:pPr>
        <w:autoSpaceDE w:val="0"/>
        <w:autoSpaceDN w:val="0"/>
        <w:adjustRightInd w:val="0"/>
        <w:spacing w:line="560" w:lineRule="exact"/>
        <w:jc w:val="both"/>
        <w:rPr>
          <w:rFonts w:hint="eastAsia"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lang w:val="en-US" w:eastAsia="zh-CN"/>
        </w:rPr>
        <w:t xml:space="preserve">    8.聘任或解聘本行行长，根据行长提名聘任或解聘副行长及法律规定应当由董事会聘任或解聘的其他高级管理人员，并决定其报酬和奖惩事项；</w:t>
      </w:r>
    </w:p>
    <w:p>
      <w:pPr>
        <w:autoSpaceDE w:val="0"/>
        <w:autoSpaceDN w:val="0"/>
        <w:adjustRightInd w:val="0"/>
        <w:spacing w:line="560" w:lineRule="exact"/>
        <w:ind w:firstLine="600" w:firstLineChars="200"/>
        <w:jc w:val="both"/>
        <w:rPr>
          <w:rFonts w:hint="default"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lang w:val="en-US" w:eastAsia="zh-CN"/>
        </w:rPr>
        <w:t>9.监督并确保行长及其他高级管理人员有效履行管理职责等；</w:t>
      </w:r>
    </w:p>
    <w:p>
      <w:pPr>
        <w:autoSpaceDE w:val="0"/>
        <w:autoSpaceDN w:val="0"/>
        <w:adjustRightInd w:val="0"/>
        <w:spacing w:line="560" w:lineRule="exact"/>
        <w:ind w:firstLine="600" w:firstLineChars="200"/>
        <w:jc w:val="both"/>
        <w:rPr>
          <w:rFonts w:hint="eastAsia" w:ascii="仿宋_GB2312" w:eastAsia="仿宋_GB2312" w:cs="仿宋_GB2312"/>
          <w:color w:val="auto"/>
          <w:sz w:val="30"/>
          <w:szCs w:val="30"/>
          <w:highlight w:val="none"/>
          <w:lang w:val="en-US" w:eastAsia="zh-CN"/>
        </w:rPr>
      </w:pPr>
      <w:r>
        <w:rPr>
          <w:rFonts w:hint="eastAsia" w:ascii="仿宋_GB2312" w:eastAsia="仿宋_GB2312" w:cs="仿宋_GB2312"/>
          <w:color w:val="auto"/>
          <w:sz w:val="30"/>
          <w:szCs w:val="30"/>
          <w:highlight w:val="none"/>
          <w:lang w:val="en-US" w:eastAsia="zh-CN"/>
        </w:rPr>
        <w:t>10.定期评估并完善本行的公司治理状况；</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zh-CN"/>
        </w:rPr>
      </w:pPr>
      <w:r>
        <w:rPr>
          <w:rFonts w:hint="eastAsia" w:ascii="仿宋_GB2312" w:eastAsia="仿宋_GB2312" w:cs="仿宋_GB2312"/>
          <w:sz w:val="30"/>
          <w:szCs w:val="30"/>
          <w:highlight w:val="none"/>
          <w:lang w:val="en-US" w:eastAsia="zh-CN"/>
        </w:rPr>
        <w:t>11.聘任和解聘本行董事会专门委员会和高级管理人员</w:t>
      </w:r>
      <w:r>
        <w:rPr>
          <w:rFonts w:hint="eastAsia" w:ascii="仿宋_GB2312" w:eastAsia="仿宋_GB2312" w:cs="仿宋_GB2312"/>
          <w:sz w:val="30"/>
          <w:szCs w:val="30"/>
          <w:highlight w:val="none"/>
          <w:lang w:val="zh-CN"/>
        </w:rPr>
        <w:t>；</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12.管理本行信息披露事项；</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13.审定本行内部管理架构以及重要分支机构及部门的设置。</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14.提请股东大会聘用或者解聘为银行财务报告进行定期法定审计的会计师事务所。</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15.维护金融消费者和其他利益相关者合法权益；</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16.建立银行与股东特别是主要股东之间利益冲突的识别、审查和管理机制；</w:t>
      </w:r>
    </w:p>
    <w:p>
      <w:pPr>
        <w:autoSpaceDE w:val="0"/>
        <w:autoSpaceDN w:val="0"/>
        <w:adjustRightInd w:val="0"/>
        <w:spacing w:line="560" w:lineRule="exact"/>
        <w:ind w:firstLine="600" w:firstLineChars="200"/>
        <w:jc w:val="both"/>
        <w:rPr>
          <w:rFonts w:hint="default"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17.承担股东事务的管理责任；</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zh-CN"/>
        </w:rPr>
      </w:pPr>
      <w:r>
        <w:rPr>
          <w:rFonts w:hint="eastAsia" w:ascii="仿宋_GB2312" w:eastAsia="仿宋_GB2312" w:cs="仿宋_GB2312"/>
          <w:sz w:val="30"/>
          <w:szCs w:val="30"/>
          <w:highlight w:val="none"/>
          <w:lang w:val="en-US" w:eastAsia="zh-CN"/>
        </w:rPr>
        <w:t>18.</w:t>
      </w:r>
      <w:r>
        <w:rPr>
          <w:rFonts w:hint="eastAsia" w:ascii="仿宋_GB2312" w:eastAsia="仿宋_GB2312" w:cs="仿宋_GB2312"/>
          <w:sz w:val="30"/>
          <w:szCs w:val="30"/>
          <w:highlight w:val="none"/>
          <w:lang w:val="zh-CN"/>
        </w:rPr>
        <w:t>审议批准本行的</w:t>
      </w:r>
      <w:r>
        <w:rPr>
          <w:rFonts w:hint="eastAsia" w:ascii="仿宋_GB2312" w:eastAsia="仿宋_GB2312" w:cs="仿宋_GB2312"/>
          <w:sz w:val="30"/>
          <w:szCs w:val="30"/>
          <w:highlight w:val="none"/>
          <w:lang w:val="en-US" w:eastAsia="zh-CN"/>
        </w:rPr>
        <w:t>对外投资、资产购置、资产处置与核销、资产抵押、</w:t>
      </w:r>
      <w:r>
        <w:rPr>
          <w:rFonts w:hint="eastAsia" w:ascii="仿宋_GB2312" w:eastAsia="仿宋_GB2312" w:cs="仿宋_GB2312"/>
          <w:sz w:val="30"/>
          <w:szCs w:val="30"/>
          <w:highlight w:val="none"/>
          <w:lang w:val="zh-CN"/>
        </w:rPr>
        <w:t>关联交易、</w:t>
      </w:r>
      <w:r>
        <w:rPr>
          <w:rFonts w:hint="eastAsia" w:ascii="仿宋_GB2312" w:eastAsia="仿宋_GB2312" w:cs="仿宋_GB2312"/>
          <w:sz w:val="30"/>
          <w:szCs w:val="30"/>
          <w:highlight w:val="none"/>
          <w:lang w:val="en-US" w:eastAsia="zh-CN"/>
        </w:rPr>
        <w:t>数据治理等事项</w:t>
      </w:r>
      <w:r>
        <w:rPr>
          <w:rFonts w:hint="eastAsia" w:ascii="仿宋_GB2312" w:eastAsia="仿宋_GB2312" w:cs="仿宋_GB2312"/>
          <w:sz w:val="30"/>
          <w:szCs w:val="30"/>
          <w:highlight w:val="none"/>
          <w:lang w:val="zh-CN"/>
        </w:rPr>
        <w:t>；</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19.制定公司发展战略并监督战略实施；</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20.负责公司信息披露，并对会计和财务报告的真实性、准确性、完整性和及时性承担最终责任；</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21.定期评估并完善银行公司治理；</w:t>
      </w:r>
    </w:p>
    <w:p>
      <w:pPr>
        <w:autoSpaceDE w:val="0"/>
        <w:autoSpaceDN w:val="0"/>
        <w:adjustRightInd w:val="0"/>
        <w:spacing w:line="560" w:lineRule="exact"/>
        <w:ind w:firstLine="600" w:firstLineChars="200"/>
        <w:jc w:val="both"/>
        <w:rPr>
          <w:rFonts w:hint="default"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22.制订章程修改方案，制订股东大会议事规则、董事会议事规则，审议批准董事会专门委员会工作规则；</w:t>
      </w:r>
    </w:p>
    <w:p>
      <w:pPr>
        <w:autoSpaceDE w:val="0"/>
        <w:autoSpaceDN w:val="0"/>
        <w:adjustRightInd w:val="0"/>
        <w:spacing w:line="560" w:lineRule="exact"/>
        <w:ind w:firstLine="600" w:firstLineChars="200"/>
        <w:jc w:val="both"/>
        <w:rPr>
          <w:rFonts w:hint="eastAsia" w:ascii="仿宋_GB2312" w:eastAsia="仿宋_GB2312" w:cs="仿宋_GB2312"/>
          <w:sz w:val="30"/>
          <w:szCs w:val="30"/>
          <w:highlight w:val="none"/>
          <w:lang w:val="en-US" w:eastAsia="zh-CN"/>
        </w:rPr>
      </w:pPr>
      <w:r>
        <w:rPr>
          <w:rFonts w:hint="eastAsia" w:ascii="仿宋_GB2312" w:eastAsia="仿宋_GB2312" w:cs="仿宋_GB2312"/>
          <w:sz w:val="30"/>
          <w:szCs w:val="30"/>
          <w:highlight w:val="none"/>
          <w:lang w:val="en-US" w:eastAsia="zh-CN"/>
        </w:rPr>
        <w:t>23.制定本行资本规划，承担资本或偿付能力管理最终责任；</w:t>
      </w:r>
    </w:p>
    <w:p>
      <w:pPr>
        <w:tabs>
          <w:tab w:val="left" w:pos="1989"/>
        </w:tabs>
        <w:spacing w:line="560" w:lineRule="exact"/>
        <w:ind w:firstLine="584" w:firstLineChars="200"/>
        <w:jc w:val="both"/>
        <w:rPr>
          <w:rFonts w:hint="default" w:ascii="仿宋_GB2312" w:eastAsia="仿宋_GB2312" w:cs="仿宋_GB2312"/>
          <w:spacing w:val="-4"/>
          <w:sz w:val="30"/>
          <w:szCs w:val="30"/>
          <w:highlight w:val="none"/>
          <w:lang w:val="en-US" w:eastAsia="zh-CN"/>
        </w:rPr>
      </w:pPr>
      <w:r>
        <w:rPr>
          <w:rFonts w:hint="eastAsia" w:ascii="仿宋_GB2312" w:eastAsia="仿宋_GB2312" w:cs="仿宋_GB2312"/>
          <w:spacing w:val="-4"/>
          <w:sz w:val="30"/>
          <w:szCs w:val="30"/>
          <w:highlight w:val="none"/>
          <w:lang w:val="en-US" w:eastAsia="zh-CN"/>
        </w:rPr>
        <w:t>24.银行应当合理确定各项业务活动和管理活动的风险控制点，采取适当的控制措施，执行标准统一的业务流程和管理流程，确保规范运作。</w:t>
      </w:r>
    </w:p>
    <w:p>
      <w:pPr>
        <w:pStyle w:val="2"/>
        <w:adjustRightInd w:val="0"/>
        <w:snapToGrid w:val="0"/>
        <w:spacing w:line="560" w:lineRule="exact"/>
        <w:ind w:firstLine="600" w:firstLineChars="200"/>
        <w:jc w:val="both"/>
        <w:rPr>
          <w:rFonts w:hint="default" w:ascii="Times New Roman" w:hAnsi="Times New Roman" w:eastAsia="仿宋_GB2312" w:cs="Times New Roman"/>
          <w:sz w:val="30"/>
          <w:szCs w:val="30"/>
          <w:highlight w:val="none"/>
          <w:lang w:val="zh-CN"/>
        </w:rPr>
      </w:pPr>
      <w:r>
        <w:rPr>
          <w:rFonts w:hint="eastAsia" w:ascii="仿宋_GB2312" w:eastAsia="仿宋_GB2312" w:cs="仿宋_GB2312"/>
          <w:sz w:val="30"/>
          <w:szCs w:val="30"/>
          <w:highlight w:val="none"/>
          <w:lang w:val="en-US" w:eastAsia="zh-CN"/>
        </w:rPr>
        <w:t>25.</w:t>
      </w:r>
      <w:r>
        <w:rPr>
          <w:rFonts w:hint="eastAsia" w:ascii="仿宋_GB2312" w:eastAsia="仿宋_GB2312" w:cs="仿宋_GB2312"/>
          <w:sz w:val="30"/>
          <w:szCs w:val="30"/>
          <w:highlight w:val="none"/>
          <w:lang w:val="zh-CN"/>
        </w:rPr>
        <w:t>法律、法规、本行章程规定和股东授予的其它权利。</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lang w:val="zh-CN"/>
        </w:rPr>
        <w:t>（</w:t>
      </w:r>
      <w:r>
        <w:rPr>
          <w:rFonts w:hint="eastAsia" w:ascii="Times New Roman" w:hAnsi="Times New Roman" w:eastAsia="仿宋_GB2312" w:cs="Times New Roman"/>
          <w:color w:val="auto"/>
          <w:sz w:val="30"/>
          <w:szCs w:val="30"/>
          <w:highlight w:val="none"/>
          <w:lang w:val="en-US" w:eastAsia="zh-CN"/>
        </w:rPr>
        <w:t>五</w:t>
      </w:r>
      <w:r>
        <w:rPr>
          <w:rFonts w:hint="default" w:ascii="Times New Roman" w:hAnsi="Times New Roman" w:eastAsia="仿宋_GB2312" w:cs="Times New Roman"/>
          <w:color w:val="auto"/>
          <w:sz w:val="30"/>
          <w:szCs w:val="30"/>
          <w:highlight w:val="none"/>
          <w:lang w:val="zh-CN"/>
        </w:rPr>
        <w:t>）</w:t>
      </w:r>
      <w:r>
        <w:rPr>
          <w:rFonts w:hint="default" w:ascii="Times New Roman" w:hAnsi="Times New Roman" w:eastAsia="仿宋_GB2312" w:cs="Times New Roman"/>
          <w:b/>
          <w:color w:val="auto"/>
          <w:sz w:val="30"/>
          <w:szCs w:val="30"/>
          <w:highlight w:val="none"/>
          <w:lang w:val="en-US" w:eastAsia="zh-CN"/>
        </w:rPr>
        <w:t>202</w:t>
      </w:r>
      <w:r>
        <w:rPr>
          <w:rFonts w:hint="eastAsia" w:eastAsia="仿宋_GB2312" w:cs="Times New Roman"/>
          <w:b/>
          <w:color w:val="auto"/>
          <w:sz w:val="30"/>
          <w:szCs w:val="30"/>
          <w:highlight w:val="none"/>
          <w:lang w:val="en-US" w:eastAsia="zh-CN"/>
        </w:rPr>
        <w:t>5</w:t>
      </w:r>
      <w:r>
        <w:rPr>
          <w:rFonts w:hint="default" w:ascii="Times New Roman" w:hAnsi="Times New Roman" w:eastAsia="仿宋_GB2312" w:cs="Times New Roman"/>
          <w:b/>
          <w:color w:val="auto"/>
          <w:sz w:val="30"/>
          <w:szCs w:val="30"/>
          <w:highlight w:val="none"/>
          <w:lang w:val="en-US" w:eastAsia="zh-CN"/>
        </w:rPr>
        <w:t>年召开董事会情况</w:t>
      </w:r>
      <w:r>
        <w:rPr>
          <w:rFonts w:hint="default" w:ascii="Times New Roman" w:hAnsi="Times New Roman" w:eastAsia="仿宋_GB2312" w:cs="Times New Roman"/>
          <w:color w:val="auto"/>
          <w:kern w:val="0"/>
          <w:sz w:val="30"/>
          <w:szCs w:val="30"/>
          <w:highlight w:val="none"/>
          <w:lang w:val="en-US" w:eastAsia="zh-CN"/>
        </w:rPr>
        <w:t>：202</w:t>
      </w:r>
      <w:r>
        <w:rPr>
          <w:rFonts w:hint="eastAsia" w:eastAsia="仿宋_GB2312" w:cs="Times New Roman"/>
          <w:color w:val="auto"/>
          <w:kern w:val="0"/>
          <w:sz w:val="30"/>
          <w:szCs w:val="30"/>
          <w:highlight w:val="none"/>
          <w:lang w:val="en-US" w:eastAsia="zh-CN"/>
        </w:rPr>
        <w:t>5</w:t>
      </w:r>
      <w:r>
        <w:rPr>
          <w:rFonts w:hint="default" w:ascii="Times New Roman" w:hAnsi="Times New Roman" w:eastAsia="仿宋_GB2312" w:cs="Times New Roman"/>
          <w:color w:val="auto"/>
          <w:kern w:val="0"/>
          <w:sz w:val="30"/>
          <w:szCs w:val="30"/>
          <w:highlight w:val="none"/>
          <w:lang w:val="en-US" w:eastAsia="zh-CN"/>
        </w:rPr>
        <w:t>年我行共召开</w:t>
      </w:r>
      <w:r>
        <w:rPr>
          <w:rFonts w:hint="eastAsia" w:eastAsia="仿宋_GB2312" w:cs="Times New Roman"/>
          <w:color w:val="auto"/>
          <w:kern w:val="0"/>
          <w:sz w:val="30"/>
          <w:szCs w:val="30"/>
          <w:highlight w:val="none"/>
          <w:lang w:val="en-US" w:eastAsia="zh-CN"/>
        </w:rPr>
        <w:t>4</w:t>
      </w:r>
      <w:r>
        <w:rPr>
          <w:rFonts w:hint="default" w:ascii="Times New Roman" w:hAnsi="Times New Roman" w:eastAsia="仿宋_GB2312" w:cs="Times New Roman"/>
          <w:color w:val="auto"/>
          <w:kern w:val="0"/>
          <w:sz w:val="30"/>
          <w:szCs w:val="30"/>
          <w:highlight w:val="none"/>
          <w:lang w:val="en-US" w:eastAsia="zh-CN"/>
        </w:rPr>
        <w:t>次董事会</w:t>
      </w:r>
      <w:r>
        <w:rPr>
          <w:rFonts w:hint="eastAsia" w:eastAsia="仿宋_GB2312" w:cs="Times New Roman"/>
          <w:color w:val="auto"/>
          <w:kern w:val="0"/>
          <w:sz w:val="30"/>
          <w:szCs w:val="30"/>
          <w:highlight w:val="none"/>
          <w:lang w:val="en-US" w:eastAsia="zh-CN"/>
        </w:rPr>
        <w:t>5</w:t>
      </w:r>
      <w:r>
        <w:rPr>
          <w:rFonts w:hint="default" w:ascii="Times New Roman" w:hAnsi="Times New Roman" w:eastAsia="仿宋_GB2312" w:cs="Times New Roman"/>
          <w:color w:val="auto"/>
          <w:kern w:val="0"/>
          <w:sz w:val="30"/>
          <w:szCs w:val="30"/>
          <w:highlight w:val="none"/>
          <w:lang w:val="en-US" w:eastAsia="zh-CN"/>
        </w:rPr>
        <w:t>次临时董事会，分别为</w:t>
      </w:r>
      <w:r>
        <w:rPr>
          <w:rFonts w:hint="eastAsia" w:eastAsia="仿宋_GB2312" w:cs="Times New Roman"/>
          <w:color w:val="auto"/>
          <w:kern w:val="0"/>
          <w:sz w:val="30"/>
          <w:szCs w:val="30"/>
          <w:highlight w:val="none"/>
          <w:lang w:val="en-US" w:eastAsia="zh-CN"/>
        </w:rPr>
        <w:t>2025年1月23日召开</w:t>
      </w:r>
      <w:r>
        <w:rPr>
          <w:rFonts w:hint="default" w:ascii="Times New Roman" w:hAnsi="Times New Roman" w:eastAsia="仿宋_GB2312" w:cs="Times New Roman"/>
          <w:color w:val="auto"/>
          <w:kern w:val="0"/>
          <w:sz w:val="30"/>
          <w:szCs w:val="30"/>
          <w:highlight w:val="none"/>
          <w:lang w:val="en-US" w:eastAsia="zh-CN"/>
        </w:rPr>
        <w:t>第二届董事会第十四次临时会议</w:t>
      </w:r>
      <w:r>
        <w:rPr>
          <w:rFonts w:hint="eastAsia" w:eastAsia="仿宋_GB2312" w:cs="Times New Roman"/>
          <w:color w:val="auto"/>
          <w:kern w:val="0"/>
          <w:sz w:val="30"/>
          <w:szCs w:val="30"/>
          <w:highlight w:val="none"/>
          <w:lang w:val="en-US" w:eastAsia="zh-CN"/>
        </w:rPr>
        <w:t>，2025年3月26日召开的重庆北碚稠州村镇银行</w:t>
      </w:r>
      <w:r>
        <w:rPr>
          <w:rFonts w:hint="default" w:ascii="Times New Roman" w:hAnsi="Times New Roman" w:eastAsia="仿宋_GB2312" w:cs="Times New Roman"/>
          <w:color w:val="auto"/>
          <w:kern w:val="0"/>
          <w:sz w:val="30"/>
          <w:szCs w:val="30"/>
          <w:highlight w:val="none"/>
          <w:lang w:val="en-US" w:eastAsia="zh-CN"/>
        </w:rPr>
        <w:t>第二届董事会第十五次会议</w:t>
      </w:r>
      <w:r>
        <w:rPr>
          <w:rFonts w:hint="default" w:ascii="Times New Roman" w:hAnsi="Times New Roman" w:eastAsia="仿宋_GB2312" w:cs="Times New Roman"/>
          <w:color w:val="auto"/>
          <w:kern w:val="0"/>
          <w:sz w:val="30"/>
          <w:szCs w:val="30"/>
          <w:highlight w:val="none"/>
          <w:lang w:eastAsia="zh-CN"/>
        </w:rPr>
        <w:t>，</w:t>
      </w:r>
      <w:r>
        <w:rPr>
          <w:rFonts w:hint="eastAsia" w:eastAsia="仿宋_GB2312" w:cs="Times New Roman"/>
          <w:color w:val="auto"/>
          <w:kern w:val="0"/>
          <w:sz w:val="30"/>
          <w:szCs w:val="30"/>
          <w:highlight w:val="none"/>
          <w:lang w:val="en-US" w:eastAsia="zh-CN"/>
        </w:rPr>
        <w:t>2025年4月8日召开的</w:t>
      </w:r>
      <w:r>
        <w:rPr>
          <w:rFonts w:hint="default" w:ascii="Times New Roman" w:hAnsi="Times New Roman" w:eastAsia="仿宋_GB2312" w:cs="Times New Roman"/>
          <w:color w:val="auto"/>
          <w:kern w:val="0"/>
          <w:sz w:val="30"/>
          <w:szCs w:val="30"/>
          <w:highlight w:val="none"/>
          <w:lang w:val="en-US" w:eastAsia="zh-CN"/>
        </w:rPr>
        <w:t>第二届临时董事会第十六次会议，</w:t>
      </w:r>
      <w:r>
        <w:rPr>
          <w:rFonts w:hint="eastAsia" w:eastAsia="仿宋_GB2312" w:cs="Times New Roman"/>
          <w:color w:val="auto"/>
          <w:kern w:val="0"/>
          <w:sz w:val="30"/>
          <w:szCs w:val="30"/>
          <w:highlight w:val="none"/>
          <w:lang w:val="en-US" w:eastAsia="zh-CN"/>
        </w:rPr>
        <w:t>2025年6月4日召开的</w:t>
      </w:r>
      <w:r>
        <w:rPr>
          <w:rFonts w:hint="default" w:ascii="Times New Roman" w:hAnsi="Times New Roman" w:eastAsia="仿宋_GB2312" w:cs="Times New Roman"/>
          <w:color w:val="auto"/>
          <w:kern w:val="0"/>
          <w:sz w:val="30"/>
          <w:szCs w:val="30"/>
          <w:highlight w:val="none"/>
          <w:lang w:val="en-US" w:eastAsia="zh-CN"/>
        </w:rPr>
        <w:t>第二届董事会第十七次会议，</w:t>
      </w:r>
      <w:r>
        <w:rPr>
          <w:rFonts w:hint="eastAsia" w:eastAsia="仿宋_GB2312" w:cs="Times New Roman"/>
          <w:color w:val="auto"/>
          <w:kern w:val="0"/>
          <w:sz w:val="30"/>
          <w:szCs w:val="30"/>
          <w:highlight w:val="none"/>
          <w:lang w:val="en-US" w:eastAsia="zh-CN"/>
        </w:rPr>
        <w:t>2025年6月12日召开的</w:t>
      </w:r>
      <w:r>
        <w:rPr>
          <w:rFonts w:hint="default" w:ascii="Times New Roman" w:hAnsi="Times New Roman" w:eastAsia="仿宋_GB2312" w:cs="Times New Roman"/>
          <w:color w:val="auto"/>
          <w:kern w:val="0"/>
          <w:sz w:val="30"/>
          <w:szCs w:val="30"/>
          <w:highlight w:val="none"/>
          <w:lang w:val="en-US" w:eastAsia="zh-CN"/>
        </w:rPr>
        <w:t>第二届临时董事会第十八次会议</w:t>
      </w:r>
      <w:r>
        <w:rPr>
          <w:rFonts w:hint="default" w:ascii="Times New Roman" w:hAnsi="Times New Roman" w:eastAsia="仿宋_GB2312" w:cs="Times New Roman"/>
          <w:color w:val="auto"/>
          <w:kern w:val="0"/>
          <w:sz w:val="30"/>
          <w:szCs w:val="30"/>
          <w:highlight w:val="none"/>
          <w:lang w:eastAsia="zh-CN"/>
        </w:rPr>
        <w:t>，</w:t>
      </w:r>
      <w:r>
        <w:rPr>
          <w:rFonts w:hint="eastAsia" w:eastAsia="仿宋_GB2312" w:cs="Times New Roman"/>
          <w:color w:val="auto"/>
          <w:kern w:val="0"/>
          <w:sz w:val="30"/>
          <w:szCs w:val="30"/>
          <w:highlight w:val="none"/>
          <w:lang w:val="en-US" w:eastAsia="zh-CN"/>
        </w:rPr>
        <w:t>2025年8月29日召开的</w:t>
      </w:r>
      <w:r>
        <w:rPr>
          <w:rFonts w:hint="default" w:ascii="Times New Roman" w:hAnsi="Times New Roman" w:eastAsia="仿宋_GB2312" w:cs="Times New Roman"/>
          <w:color w:val="auto"/>
          <w:kern w:val="0"/>
          <w:sz w:val="30"/>
          <w:szCs w:val="30"/>
          <w:highlight w:val="none"/>
          <w:lang w:eastAsia="zh-CN"/>
        </w:rPr>
        <w:t>第二届临时董事会第十九次会议</w:t>
      </w:r>
      <w:r>
        <w:rPr>
          <w:rFonts w:hint="eastAsia" w:eastAsia="仿宋_GB2312" w:cs="Times New Roman"/>
          <w:color w:val="auto"/>
          <w:kern w:val="0"/>
          <w:sz w:val="30"/>
          <w:szCs w:val="30"/>
          <w:highlight w:val="none"/>
          <w:lang w:eastAsia="zh-CN"/>
        </w:rPr>
        <w:t>，</w:t>
      </w:r>
      <w:r>
        <w:rPr>
          <w:rFonts w:hint="eastAsia" w:eastAsia="仿宋_GB2312" w:cs="Times New Roman"/>
          <w:color w:val="auto"/>
          <w:kern w:val="0"/>
          <w:sz w:val="30"/>
          <w:szCs w:val="30"/>
          <w:highlight w:val="none"/>
          <w:lang w:val="en-US" w:eastAsia="zh-CN"/>
        </w:rPr>
        <w:t>2025年11月28日召开</w:t>
      </w:r>
      <w:r>
        <w:rPr>
          <w:rFonts w:hint="eastAsia" w:eastAsia="仿宋_GB2312" w:cs="Times New Roman"/>
          <w:color w:val="auto"/>
          <w:kern w:val="0"/>
          <w:sz w:val="30"/>
          <w:szCs w:val="30"/>
          <w:highlight w:val="none"/>
          <w:lang w:eastAsia="zh-CN"/>
        </w:rPr>
        <w:t>第二届董事会第二十次会议，</w:t>
      </w:r>
      <w:r>
        <w:rPr>
          <w:rFonts w:hint="eastAsia" w:eastAsia="仿宋_GB2312" w:cs="Times New Roman"/>
          <w:color w:val="auto"/>
          <w:kern w:val="0"/>
          <w:sz w:val="30"/>
          <w:szCs w:val="30"/>
          <w:highlight w:val="none"/>
          <w:lang w:val="en-US" w:eastAsia="zh-CN"/>
        </w:rPr>
        <w:t>2025年11月14日召开</w:t>
      </w:r>
      <w:r>
        <w:rPr>
          <w:rFonts w:hint="eastAsia" w:eastAsia="仿宋_GB2312" w:cs="Times New Roman"/>
          <w:color w:val="auto"/>
          <w:kern w:val="0"/>
          <w:sz w:val="30"/>
          <w:szCs w:val="30"/>
          <w:highlight w:val="none"/>
          <w:lang w:eastAsia="zh-CN"/>
        </w:rPr>
        <w:t>第二届临时董事会第二十一次会议，</w:t>
      </w:r>
      <w:r>
        <w:rPr>
          <w:rFonts w:hint="eastAsia" w:eastAsia="仿宋_GB2312" w:cs="Times New Roman"/>
          <w:color w:val="auto"/>
          <w:kern w:val="0"/>
          <w:sz w:val="30"/>
          <w:szCs w:val="30"/>
          <w:highlight w:val="none"/>
          <w:lang w:val="en-US" w:eastAsia="zh-CN"/>
        </w:rPr>
        <w:t>2025年12月22日</w:t>
      </w:r>
      <w:r>
        <w:rPr>
          <w:rFonts w:hint="eastAsia" w:eastAsia="仿宋_GB2312" w:cs="Times New Roman"/>
          <w:color w:val="auto"/>
          <w:kern w:val="0"/>
          <w:sz w:val="30"/>
          <w:szCs w:val="30"/>
          <w:highlight w:val="none"/>
          <w:lang w:eastAsia="zh-CN"/>
        </w:rPr>
        <w:t>第三届第一次会议。</w:t>
      </w:r>
      <w:r>
        <w:rPr>
          <w:rFonts w:hint="default" w:ascii="Times New Roman" w:hAnsi="Times New Roman" w:eastAsia="仿宋_GB2312" w:cs="Times New Roman"/>
          <w:color w:val="auto"/>
          <w:kern w:val="0"/>
          <w:sz w:val="30"/>
          <w:szCs w:val="30"/>
          <w:highlight w:val="none"/>
          <w:lang w:val="en-US" w:eastAsia="zh-CN"/>
        </w:rPr>
        <w:t>202</w:t>
      </w:r>
      <w:r>
        <w:rPr>
          <w:rFonts w:hint="eastAsia" w:eastAsia="仿宋_GB2312" w:cs="Times New Roman"/>
          <w:color w:val="auto"/>
          <w:kern w:val="0"/>
          <w:sz w:val="30"/>
          <w:szCs w:val="30"/>
          <w:highlight w:val="none"/>
          <w:lang w:val="en-US" w:eastAsia="zh-CN"/>
        </w:rPr>
        <w:t>5</w:t>
      </w:r>
      <w:r>
        <w:rPr>
          <w:rFonts w:hint="default" w:ascii="Times New Roman" w:hAnsi="Times New Roman" w:eastAsia="仿宋_GB2312" w:cs="Times New Roman"/>
          <w:color w:val="auto"/>
          <w:kern w:val="0"/>
          <w:sz w:val="30"/>
          <w:szCs w:val="30"/>
          <w:highlight w:val="none"/>
          <w:lang w:val="en-US" w:eastAsia="zh-CN"/>
        </w:rPr>
        <w:t>年的董事会均为全部董事出席。</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六</w:t>
      </w:r>
      <w:r>
        <w:rPr>
          <w:rFonts w:hint="default" w:ascii="Times New Roman" w:hAnsi="Times New Roman" w:eastAsia="仿宋_GB2312" w:cs="Times New Roman"/>
          <w:color w:val="auto"/>
          <w:sz w:val="30"/>
          <w:szCs w:val="30"/>
          <w:highlight w:val="none"/>
        </w:rPr>
        <w:t>）关于董事、董事会及其专门委员会</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截至报告期末，公司董事会由</w:t>
      </w:r>
      <w:r>
        <w:rPr>
          <w:rFonts w:hint="eastAsia"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rPr>
        <w:t>名董事组成，其中股东董事</w:t>
      </w:r>
      <w:r>
        <w:rPr>
          <w:rFonts w:hint="eastAsia" w:eastAsia="仿宋_GB2312" w:cs="Times New Roman"/>
          <w:color w:val="auto"/>
          <w:sz w:val="30"/>
          <w:szCs w:val="30"/>
          <w:highlight w:val="none"/>
          <w:lang w:val="en-US" w:eastAsia="zh-CN"/>
        </w:rPr>
        <w:t>3</w:t>
      </w:r>
      <w:r>
        <w:rPr>
          <w:rFonts w:hint="default" w:ascii="Times New Roman" w:hAnsi="Times New Roman" w:eastAsia="仿宋_GB2312" w:cs="Times New Roman"/>
          <w:color w:val="auto"/>
          <w:sz w:val="30"/>
          <w:szCs w:val="30"/>
          <w:highlight w:val="none"/>
        </w:rPr>
        <w:t>名，</w:t>
      </w:r>
      <w:r>
        <w:rPr>
          <w:rFonts w:hint="eastAsia" w:eastAsia="仿宋_GB2312" w:cs="Times New Roman"/>
          <w:color w:val="auto"/>
          <w:sz w:val="30"/>
          <w:szCs w:val="30"/>
          <w:highlight w:val="none"/>
          <w:lang w:val="en-US" w:eastAsia="zh-CN"/>
        </w:rPr>
        <w:t>外部</w:t>
      </w:r>
      <w:r>
        <w:rPr>
          <w:rFonts w:hint="default" w:ascii="Times New Roman" w:hAnsi="Times New Roman" w:eastAsia="仿宋_GB2312" w:cs="Times New Roman"/>
          <w:color w:val="auto"/>
          <w:sz w:val="30"/>
          <w:szCs w:val="30"/>
          <w:highlight w:val="none"/>
        </w:rPr>
        <w:t>董事</w:t>
      </w:r>
      <w:r>
        <w:rPr>
          <w:rFonts w:hint="eastAsia" w:eastAsia="仿宋_GB2312" w:cs="Times New Roman"/>
          <w:color w:val="auto"/>
          <w:sz w:val="30"/>
          <w:szCs w:val="30"/>
          <w:highlight w:val="none"/>
          <w:lang w:val="en-US" w:eastAsia="zh-CN"/>
        </w:rPr>
        <w:t>2</w:t>
      </w:r>
      <w:r>
        <w:rPr>
          <w:rFonts w:hint="default" w:ascii="Times New Roman" w:hAnsi="Times New Roman" w:eastAsia="仿宋_GB2312" w:cs="Times New Roman"/>
          <w:color w:val="auto"/>
          <w:sz w:val="30"/>
          <w:szCs w:val="30"/>
          <w:highlight w:val="none"/>
        </w:rPr>
        <w:t>名。符合监管规定要求。公司的董事均拥有丰富的管理经验和经济金融领域的工作经历。合理的董事结构、丰富的从业经验、多元化的专业背景保持了董事会应有的独立性，也提升了董事会的科学决策能力。</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报告期内，公司共召开例行董事会会议</w:t>
      </w:r>
      <w:r>
        <w:rPr>
          <w:rFonts w:hint="eastAsia"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rPr>
        <w:t>次，临时董事会</w:t>
      </w:r>
      <w:r>
        <w:rPr>
          <w:rFonts w:hint="eastAsia" w:eastAsia="仿宋_GB2312" w:cs="Times New Roman"/>
          <w:color w:val="auto"/>
          <w:sz w:val="30"/>
          <w:szCs w:val="30"/>
          <w:highlight w:val="none"/>
          <w:lang w:val="en-US" w:eastAsia="zh-CN"/>
        </w:rPr>
        <w:t>4</w:t>
      </w:r>
      <w:r>
        <w:rPr>
          <w:rFonts w:hint="default" w:ascii="Times New Roman" w:hAnsi="Times New Roman" w:eastAsia="仿宋_GB2312" w:cs="Times New Roman"/>
          <w:color w:val="auto"/>
          <w:sz w:val="30"/>
          <w:szCs w:val="30"/>
          <w:highlight w:val="none"/>
        </w:rPr>
        <w:t>次，审议、讨论通过决议</w:t>
      </w:r>
      <w:r>
        <w:rPr>
          <w:rFonts w:hint="eastAsia" w:eastAsia="仿宋_GB2312" w:cs="Times New Roman"/>
          <w:color w:val="auto"/>
          <w:sz w:val="30"/>
          <w:szCs w:val="30"/>
          <w:highlight w:val="none"/>
          <w:lang w:val="en-US" w:eastAsia="zh-CN"/>
        </w:rPr>
        <w:t>60</w:t>
      </w:r>
      <w:r>
        <w:rPr>
          <w:rFonts w:hint="default" w:ascii="Times New Roman" w:hAnsi="Times New Roman" w:eastAsia="仿宋_GB2312" w:cs="Times New Roman"/>
          <w:color w:val="auto"/>
          <w:kern w:val="0"/>
          <w:sz w:val="30"/>
          <w:szCs w:val="30"/>
          <w:highlight w:val="none"/>
        </w:rPr>
        <w:t>项。除认真审议定期报告、财务预算、利润分配等常规事项外，董事会对公司战略管理、薪酬绩效考核、风险管理等方面给予了高度关注，充分发挥了董事会的指导决策职能</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auto"/>
          <w:kern w:val="0"/>
          <w:sz w:val="30"/>
          <w:szCs w:val="30"/>
          <w:highlight w:val="none"/>
        </w:rPr>
        <w:t>报告期内，各位董事能够积极参加监管部门和本公司组织会谈，展现了高度的责任心和良好的专业素养，切实维护了本公司和体股东的合法权益。</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kern w:val="0"/>
          <w:sz w:val="30"/>
          <w:szCs w:val="30"/>
          <w:highlight w:val="none"/>
        </w:rPr>
        <w:t xml:space="preserve"> 本</w:t>
      </w:r>
      <w:r>
        <w:rPr>
          <w:rFonts w:hint="default" w:ascii="Times New Roman" w:hAnsi="Times New Roman" w:eastAsia="仿宋_GB2312" w:cs="Times New Roman"/>
          <w:color w:val="auto"/>
          <w:sz w:val="30"/>
          <w:szCs w:val="30"/>
          <w:highlight w:val="none"/>
        </w:rPr>
        <w:t>公司董事会下设风险管理与关联交易控制委员会、薪酬与考核委员会、审计委员会、“三农”与小微企业金融服务委员会</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lang w:val="en-US" w:eastAsia="zh-CN"/>
        </w:rPr>
        <w:t>消费者保护委员会</w:t>
      </w:r>
      <w:r>
        <w:rPr>
          <w:rFonts w:hint="eastAsia" w:eastAsia="仿宋_GB2312" w:cs="Times New Roman"/>
          <w:color w:val="auto"/>
          <w:sz w:val="30"/>
          <w:szCs w:val="30"/>
          <w:highlight w:val="none"/>
          <w:lang w:val="en-US" w:eastAsia="zh-CN"/>
        </w:rPr>
        <w:t>、信息科技管理委员会</w:t>
      </w:r>
      <w:r>
        <w:rPr>
          <w:rFonts w:hint="default" w:ascii="Times New Roman" w:hAnsi="Times New Roman" w:eastAsia="仿宋_GB2312" w:cs="Times New Roman"/>
          <w:color w:val="auto"/>
          <w:sz w:val="30"/>
          <w:szCs w:val="30"/>
          <w:highlight w:val="none"/>
        </w:rPr>
        <w:t>。董事会各专门委员会认真履行职责，针对董事会决策事项提出专业意见，对于提高管理水平，加强风险控制，改善治理结构，保护投资者合法权益起到了积极作用。</w:t>
      </w:r>
    </w:p>
    <w:p>
      <w:pPr>
        <w:pStyle w:val="3"/>
        <w:keepNext w:val="0"/>
        <w:keepLines w:val="0"/>
        <w:pageBreakBefore w:val="0"/>
        <w:numPr>
          <w:ilvl w:val="0"/>
          <w:numId w:val="0"/>
        </w:numPr>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lang w:val="en-US" w:eastAsia="zh-CN"/>
        </w:rPr>
      </w:pPr>
      <w:r>
        <w:rPr>
          <w:rFonts w:hint="eastAsia" w:ascii="Times New Roman" w:hAnsi="Times New Roman" w:eastAsia="仿宋_GB2312" w:cs="Times New Roman"/>
          <w:color w:val="auto"/>
          <w:sz w:val="30"/>
          <w:szCs w:val="30"/>
          <w:highlight w:val="none"/>
          <w:lang w:val="en-US" w:eastAsia="zh-CN"/>
        </w:rPr>
        <w:t>（七）</w:t>
      </w:r>
      <w:r>
        <w:rPr>
          <w:rFonts w:hint="default" w:ascii="Times New Roman" w:hAnsi="Times New Roman" w:eastAsia="仿宋_GB2312" w:cs="Times New Roman"/>
          <w:color w:val="auto"/>
          <w:sz w:val="30"/>
          <w:szCs w:val="30"/>
          <w:highlight w:val="none"/>
          <w:lang w:val="en-US" w:eastAsia="zh-CN"/>
        </w:rPr>
        <w:t>监事会职责</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1.</w:t>
      </w:r>
      <w:r>
        <w:rPr>
          <w:rFonts w:hint="default" w:ascii="Times New Roman" w:hAnsi="Times New Roman" w:eastAsia="仿宋_GB2312" w:cs="Times New Roman"/>
          <w:sz w:val="30"/>
          <w:szCs w:val="30"/>
          <w:highlight w:val="none"/>
          <w:lang w:val="zh-CN"/>
        </w:rPr>
        <w:t>监督董事会、高级管理层履行职责情况；</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2.</w:t>
      </w:r>
      <w:r>
        <w:rPr>
          <w:rFonts w:hint="default" w:ascii="Times New Roman" w:hAnsi="Times New Roman" w:eastAsia="仿宋_GB2312" w:cs="Times New Roman"/>
          <w:sz w:val="30"/>
          <w:szCs w:val="30"/>
          <w:highlight w:val="none"/>
          <w:lang w:val="zh-CN"/>
        </w:rPr>
        <w:t>要求董事、董事长及高级管理人员纠正其损害本行利益的行为；对违反法律、行政法规、本行章程的董事、高级管理人员提出罢免的建议；</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3.</w:t>
      </w:r>
      <w:r>
        <w:rPr>
          <w:rFonts w:hint="default" w:ascii="Times New Roman" w:hAnsi="Times New Roman" w:eastAsia="仿宋_GB2312" w:cs="Times New Roman"/>
          <w:sz w:val="30"/>
          <w:szCs w:val="30"/>
          <w:highlight w:val="none"/>
          <w:lang w:val="zh-CN"/>
        </w:rPr>
        <w:t>检查监督本行的财务管理和活动；</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lang w:val="zh-CN"/>
        </w:rPr>
        <w:t>对董事、董事长及高级管理人员进行质询；</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5.</w:t>
      </w:r>
      <w:r>
        <w:rPr>
          <w:rFonts w:hint="default" w:ascii="Times New Roman" w:hAnsi="Times New Roman" w:eastAsia="仿宋_GB2312" w:cs="Times New Roman"/>
          <w:sz w:val="30"/>
          <w:szCs w:val="30"/>
          <w:highlight w:val="none"/>
          <w:lang w:val="zh-CN"/>
        </w:rPr>
        <w:t>依照公司法第一百五十一条的规定，对董事、高级管理人员提起诉讼。</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sz w:val="30"/>
          <w:szCs w:val="30"/>
          <w:highlight w:val="none"/>
          <w:lang w:val="zh-CN"/>
        </w:rPr>
      </w:pPr>
      <w:r>
        <w:rPr>
          <w:rFonts w:hint="default" w:ascii="Times New Roman" w:hAnsi="Times New Roman" w:eastAsia="仿宋_GB2312" w:cs="Times New Roman"/>
          <w:sz w:val="30"/>
          <w:szCs w:val="30"/>
          <w:highlight w:val="none"/>
          <w:lang w:val="en-US" w:eastAsia="zh-CN"/>
        </w:rPr>
        <w:t>6.</w:t>
      </w:r>
      <w:r>
        <w:rPr>
          <w:rFonts w:hint="default" w:ascii="Times New Roman" w:hAnsi="Times New Roman" w:eastAsia="仿宋_GB2312" w:cs="Times New Roman"/>
          <w:sz w:val="30"/>
          <w:szCs w:val="30"/>
          <w:highlight w:val="none"/>
          <w:lang w:val="zh-CN"/>
        </w:rPr>
        <w:t>法律法规、行政规章及本章程规定应当由监事会行使的职权。</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八</w:t>
      </w:r>
      <w:r>
        <w:rPr>
          <w:rFonts w:hint="default" w:ascii="Times New Roman" w:hAnsi="Times New Roman" w:eastAsia="仿宋_GB2312" w:cs="Times New Roman"/>
          <w:color w:val="auto"/>
          <w:sz w:val="30"/>
          <w:szCs w:val="30"/>
          <w:highlight w:val="none"/>
        </w:rPr>
        <w:t>）关于监事、监事会及其专门委员会</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rPr>
      </w:pPr>
      <w:r>
        <w:rPr>
          <w:rFonts w:hint="eastAsia" w:eastAsia="仿宋_GB2312" w:cs="Times New Roman"/>
          <w:color w:val="auto"/>
          <w:sz w:val="30"/>
          <w:szCs w:val="30"/>
          <w:highlight w:val="none"/>
          <w:lang w:val="en-US" w:eastAsia="zh-CN"/>
        </w:rPr>
        <w:t>2025年11月前</w:t>
      </w:r>
      <w:r>
        <w:rPr>
          <w:rFonts w:hint="default" w:ascii="Times New Roman" w:hAnsi="Times New Roman" w:eastAsia="仿宋_GB2312" w:cs="Times New Roman"/>
          <w:color w:val="auto"/>
          <w:sz w:val="30"/>
          <w:szCs w:val="30"/>
          <w:highlight w:val="none"/>
        </w:rPr>
        <w:t>，公司监事会成员3名，其中职工监事</w:t>
      </w:r>
      <w:r>
        <w:rPr>
          <w:rFonts w:hint="default" w:ascii="Times New Roman" w:hAnsi="Times New Roman" w:eastAsia="仿宋_GB2312" w:cs="Times New Roman"/>
          <w:color w:val="auto"/>
          <w:sz w:val="30"/>
          <w:szCs w:val="30"/>
          <w:highlight w:val="none"/>
          <w:lang w:val="en-US" w:eastAsia="zh-CN"/>
        </w:rPr>
        <w:t>2</w:t>
      </w:r>
      <w:r>
        <w:rPr>
          <w:rFonts w:hint="default" w:ascii="Times New Roman" w:hAnsi="Times New Roman" w:eastAsia="仿宋_GB2312" w:cs="Times New Roman"/>
          <w:color w:val="auto"/>
          <w:sz w:val="30"/>
          <w:szCs w:val="30"/>
          <w:highlight w:val="none"/>
        </w:rPr>
        <w:t>名，股东监事1名</w:t>
      </w:r>
      <w:r>
        <w:rPr>
          <w:rFonts w:hint="default"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公司监事会的人数和人员构成均符合法律法规和《公司章程》的规定。</w:t>
      </w:r>
    </w:p>
    <w:p>
      <w:pPr>
        <w:keepNext w:val="0"/>
        <w:keepLines w:val="0"/>
        <w:pageBreakBefore w:val="0"/>
        <w:kinsoku/>
        <w:wordWrap/>
        <w:overflowPunct/>
        <w:topLinePunct w:val="0"/>
        <w:bidi w:val="0"/>
        <w:snapToGrid/>
        <w:spacing w:line="560" w:lineRule="exact"/>
        <w:ind w:firstLine="600" w:firstLineChars="200"/>
        <w:jc w:val="both"/>
        <w:rPr>
          <w:rFonts w:hint="eastAsia"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bCs/>
          <w:color w:val="auto"/>
          <w:sz w:val="30"/>
          <w:szCs w:val="30"/>
          <w:highlight w:val="none"/>
        </w:rPr>
        <w:t>报告期内，本本公司共召开监事会会</w:t>
      </w:r>
      <w:r>
        <w:rPr>
          <w:rFonts w:hint="default" w:ascii="Times New Roman" w:hAnsi="Times New Roman" w:eastAsia="仿宋_GB2312" w:cs="Times New Roman"/>
          <w:bCs/>
          <w:color w:val="FF0000"/>
          <w:sz w:val="30"/>
          <w:szCs w:val="30"/>
          <w:highlight w:val="none"/>
        </w:rPr>
        <w:t>议</w:t>
      </w:r>
      <w:r>
        <w:rPr>
          <w:rFonts w:hint="default" w:ascii="Times New Roman" w:hAnsi="Times New Roman" w:eastAsia="仿宋_GB2312" w:cs="Times New Roman"/>
          <w:bCs/>
          <w:color w:val="FF0000"/>
          <w:sz w:val="30"/>
          <w:szCs w:val="30"/>
          <w:highlight w:val="none"/>
          <w:lang w:val="en-US" w:eastAsia="zh-CN"/>
        </w:rPr>
        <w:t>5</w:t>
      </w:r>
      <w:r>
        <w:rPr>
          <w:rFonts w:hint="default" w:ascii="Times New Roman" w:hAnsi="Times New Roman" w:eastAsia="仿宋_GB2312" w:cs="Times New Roman"/>
          <w:bCs/>
          <w:color w:val="FF0000"/>
          <w:sz w:val="30"/>
          <w:szCs w:val="30"/>
          <w:highlight w:val="none"/>
        </w:rPr>
        <w:t>次。会议审议通过</w:t>
      </w:r>
      <w:r>
        <w:rPr>
          <w:rFonts w:hint="default" w:ascii="Times New Roman" w:hAnsi="Times New Roman" w:eastAsia="仿宋_GB2312" w:cs="Times New Roman"/>
          <w:color w:val="FF0000"/>
          <w:sz w:val="30"/>
          <w:szCs w:val="30"/>
          <w:highlight w:val="none"/>
        </w:rPr>
        <w:t>了包括监事会工作报告、财务报告、内控评价报告等</w:t>
      </w:r>
      <w:r>
        <w:rPr>
          <w:rFonts w:hint="default" w:ascii="Times New Roman" w:hAnsi="Times New Roman" w:eastAsia="仿宋_GB2312" w:cs="Times New Roman"/>
          <w:color w:val="FF0000"/>
          <w:sz w:val="30"/>
          <w:szCs w:val="30"/>
          <w:highlight w:val="none"/>
          <w:lang w:val="en-US" w:eastAsia="zh-CN"/>
        </w:rPr>
        <w:t>52</w:t>
      </w:r>
      <w:r>
        <w:rPr>
          <w:rFonts w:hint="default" w:ascii="Times New Roman" w:hAnsi="Times New Roman" w:eastAsia="仿宋_GB2312" w:cs="Times New Roman"/>
          <w:color w:val="FF0000"/>
          <w:sz w:val="30"/>
          <w:szCs w:val="30"/>
          <w:highlight w:val="none"/>
        </w:rPr>
        <w:t>项议案</w:t>
      </w: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 xml:space="preserve">  </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Cs/>
          <w:color w:val="auto"/>
          <w:sz w:val="30"/>
          <w:szCs w:val="30"/>
          <w:highlight w:val="none"/>
        </w:rPr>
      </w:pPr>
      <w:r>
        <w:rPr>
          <w:rFonts w:hint="default" w:ascii="Times New Roman" w:hAnsi="Times New Roman" w:eastAsia="仿宋_GB2312" w:cs="Times New Roman"/>
          <w:bCs/>
          <w:color w:val="auto"/>
          <w:sz w:val="30"/>
          <w:szCs w:val="30"/>
          <w:highlight w:val="none"/>
        </w:rPr>
        <w:t>报告期内，各位监事勤勉尽职，通过列席董事会会议、审阅公司上报的文件、听取管理层的工作报告等多种方式，对本公司的经营情况、财务活动、风险管理与控制、董事会执行股东决议情况进行有效监督，并积极发表意见，切实履行了《公司章程》赋予的监督职责，促进了本公司的稳健发展。</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Cs/>
          <w:color w:val="auto"/>
          <w:sz w:val="30"/>
          <w:szCs w:val="30"/>
          <w:highlight w:val="none"/>
          <w:lang w:val="en-US" w:eastAsia="zh-CN"/>
        </w:rPr>
      </w:pPr>
      <w:r>
        <w:rPr>
          <w:rFonts w:hint="eastAsia" w:eastAsia="仿宋_GB2312" w:cs="Times New Roman"/>
          <w:bCs/>
          <w:color w:val="auto"/>
          <w:sz w:val="30"/>
          <w:szCs w:val="30"/>
          <w:highlight w:val="none"/>
          <w:lang w:val="en-US" w:eastAsia="zh-CN"/>
        </w:rPr>
        <w:t>2025年11月28日，召开第二届董事会第二十次会议审议同意《关于不再设立监事会，解聘现任监事》的议案并通过股东决定同意，我行取消监事会。</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九</w:t>
      </w:r>
      <w:r>
        <w:rPr>
          <w:rFonts w:hint="default" w:ascii="Times New Roman" w:hAnsi="Times New Roman" w:eastAsia="仿宋_GB2312" w:cs="Times New Roman"/>
          <w:color w:val="auto"/>
          <w:sz w:val="30"/>
          <w:szCs w:val="30"/>
          <w:highlight w:val="none"/>
        </w:rPr>
        <w:t>）关于高级管理层</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 xml:space="preserve"> 本公司高级管理层对董事会负责，接受监事会监督，依照法律法规、公司章程及董事会的授权，组织开展经营管理活动。本</w:t>
      </w:r>
      <w:r>
        <w:rPr>
          <w:rFonts w:hint="default" w:ascii="Times New Roman" w:hAnsi="Times New Roman" w:eastAsia="仿宋_GB2312" w:cs="Times New Roman"/>
          <w:color w:val="auto"/>
          <w:kern w:val="0"/>
          <w:sz w:val="30"/>
          <w:szCs w:val="30"/>
          <w:highlight w:val="none"/>
        </w:rPr>
        <w:t>公司的高级管理层人员结构合理、职责分工明确，</w:t>
      </w:r>
      <w:r>
        <w:rPr>
          <w:rFonts w:hint="default" w:ascii="Times New Roman" w:hAnsi="Times New Roman" w:eastAsia="仿宋_GB2312" w:cs="Times New Roman"/>
          <w:color w:val="auto"/>
          <w:sz w:val="30"/>
          <w:szCs w:val="30"/>
          <w:highlight w:val="none"/>
        </w:rPr>
        <w:t>行长对日常经营管理工作全面负责，</w:t>
      </w:r>
      <w:r>
        <w:rPr>
          <w:rFonts w:hint="eastAsia" w:eastAsia="仿宋_GB2312" w:cs="Times New Roman"/>
          <w:color w:val="auto"/>
          <w:sz w:val="30"/>
          <w:szCs w:val="30"/>
          <w:highlight w:val="none"/>
          <w:lang w:val="en-US" w:eastAsia="zh-CN"/>
        </w:rPr>
        <w:t>副行长</w:t>
      </w:r>
      <w:r>
        <w:rPr>
          <w:rFonts w:hint="default" w:ascii="Times New Roman" w:hAnsi="Times New Roman" w:eastAsia="仿宋_GB2312" w:cs="Times New Roman"/>
          <w:color w:val="auto"/>
          <w:kern w:val="0"/>
          <w:sz w:val="30"/>
          <w:szCs w:val="30"/>
          <w:highlight w:val="none"/>
        </w:rPr>
        <w:t>协助行长开展工作。</w:t>
      </w:r>
      <w:r>
        <w:rPr>
          <w:rFonts w:hint="default" w:ascii="Times New Roman" w:hAnsi="Times New Roman" w:eastAsia="仿宋_GB2312" w:cs="Times New Roman"/>
          <w:color w:val="auto"/>
          <w:sz w:val="30"/>
          <w:szCs w:val="30"/>
          <w:highlight w:val="none"/>
        </w:rPr>
        <w:t>公司的高级管理人员均具备较强的管理能力、市场应变能力和创新能力，由董事会聘任，并经监管部门依法核准。报告期内，本公司高级管理层在董事会的领导下，坚持“低成本、低消耗、轻模式”战略，加强对全行经营发展的统筹安排，持续提高精细化管理水平，不断提升资源配置效率，促进了各项业务的稳健发展。</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十</w:t>
      </w:r>
      <w:r>
        <w:rPr>
          <w:rFonts w:hint="default" w:ascii="Times New Roman" w:hAnsi="Times New Roman" w:eastAsia="仿宋_GB2312" w:cs="Times New Roman"/>
          <w:color w:val="auto"/>
          <w:sz w:val="30"/>
          <w:szCs w:val="30"/>
          <w:highlight w:val="none"/>
        </w:rPr>
        <w:t>）关于信息披露与投资者关系管理</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color w:val="auto"/>
          <w:kern w:val="0"/>
          <w:sz w:val="30"/>
          <w:szCs w:val="30"/>
          <w:highlight w:val="none"/>
        </w:rPr>
        <w:t xml:space="preserve"> 报告期内，公司董事会按照银行业监督管理机构对商业银行信息披露的有关要求，编制了《202</w:t>
      </w:r>
      <w:r>
        <w:rPr>
          <w:rFonts w:hint="eastAsia" w:eastAsia="仿宋_GB2312" w:cs="Times New Roman"/>
          <w:color w:val="auto"/>
          <w:kern w:val="0"/>
          <w:sz w:val="30"/>
          <w:szCs w:val="30"/>
          <w:highlight w:val="none"/>
          <w:lang w:val="en-US" w:eastAsia="zh-CN"/>
        </w:rPr>
        <w:t>5</w:t>
      </w:r>
      <w:r>
        <w:rPr>
          <w:rFonts w:hint="default" w:ascii="Times New Roman" w:hAnsi="Times New Roman" w:eastAsia="仿宋_GB2312" w:cs="Times New Roman"/>
          <w:color w:val="auto"/>
          <w:kern w:val="0"/>
          <w:sz w:val="30"/>
          <w:szCs w:val="30"/>
          <w:highlight w:val="none"/>
        </w:rPr>
        <w:t>年度</w:t>
      </w:r>
      <w:r>
        <w:rPr>
          <w:rFonts w:hint="default" w:ascii="Times New Roman" w:hAnsi="Times New Roman" w:eastAsia="仿宋_GB2312" w:cs="Times New Roman"/>
          <w:color w:val="auto"/>
          <w:kern w:val="0"/>
          <w:sz w:val="30"/>
          <w:szCs w:val="30"/>
          <w:highlight w:val="none"/>
          <w:lang w:val="en-US" w:eastAsia="zh-CN"/>
        </w:rPr>
        <w:t>信息披露</w:t>
      </w:r>
      <w:r>
        <w:rPr>
          <w:rFonts w:hint="default" w:ascii="Times New Roman" w:hAnsi="Times New Roman" w:eastAsia="仿宋_GB2312" w:cs="Times New Roman"/>
          <w:color w:val="auto"/>
          <w:kern w:val="0"/>
          <w:sz w:val="30"/>
          <w:szCs w:val="30"/>
          <w:highlight w:val="none"/>
        </w:rPr>
        <w:t>报告》及摘要，</w:t>
      </w:r>
      <w:r>
        <w:rPr>
          <w:rFonts w:hint="default" w:ascii="Times New Roman" w:hAnsi="Times New Roman" w:eastAsia="仿宋_GB2312" w:cs="Times New Roman"/>
          <w:color w:val="auto"/>
          <w:kern w:val="0"/>
          <w:sz w:val="30"/>
          <w:szCs w:val="30"/>
          <w:highlight w:val="none"/>
          <w:lang w:val="en-US" w:eastAsia="zh-CN"/>
        </w:rPr>
        <w:t>将</w:t>
      </w:r>
      <w:r>
        <w:rPr>
          <w:rFonts w:hint="default" w:ascii="Times New Roman" w:hAnsi="Times New Roman" w:eastAsia="仿宋_GB2312" w:cs="Times New Roman"/>
          <w:color w:val="auto"/>
          <w:kern w:val="0"/>
          <w:sz w:val="30"/>
          <w:szCs w:val="30"/>
          <w:highlight w:val="none"/>
        </w:rPr>
        <w:t>于202</w:t>
      </w:r>
      <w:r>
        <w:rPr>
          <w:rFonts w:hint="eastAsia" w:eastAsia="仿宋_GB2312" w:cs="Times New Roman"/>
          <w:color w:val="auto"/>
          <w:kern w:val="0"/>
          <w:sz w:val="30"/>
          <w:szCs w:val="30"/>
          <w:highlight w:val="none"/>
          <w:lang w:val="en-US" w:eastAsia="zh-CN"/>
        </w:rPr>
        <w:t>6</w:t>
      </w:r>
      <w:r>
        <w:rPr>
          <w:rFonts w:hint="default" w:ascii="Times New Roman" w:hAnsi="Times New Roman" w:eastAsia="仿宋_GB2312" w:cs="Times New Roman"/>
          <w:color w:val="auto"/>
          <w:kern w:val="0"/>
          <w:sz w:val="30"/>
          <w:szCs w:val="30"/>
          <w:highlight w:val="none"/>
        </w:rPr>
        <w:t>年</w:t>
      </w:r>
      <w:r>
        <w:rPr>
          <w:rFonts w:hint="default" w:ascii="Times New Roman" w:hAnsi="Times New Roman" w:eastAsia="仿宋_GB2312" w:cs="Times New Roman"/>
          <w:color w:val="auto"/>
          <w:kern w:val="0"/>
          <w:sz w:val="30"/>
          <w:szCs w:val="30"/>
          <w:highlight w:val="none"/>
          <w:lang w:val="en-US" w:eastAsia="zh-CN"/>
        </w:rPr>
        <w:t>4</w:t>
      </w:r>
      <w:r>
        <w:rPr>
          <w:rFonts w:hint="default" w:ascii="Times New Roman" w:hAnsi="Times New Roman" w:eastAsia="仿宋_GB2312" w:cs="Times New Roman"/>
          <w:color w:val="auto"/>
          <w:kern w:val="0"/>
          <w:sz w:val="30"/>
          <w:szCs w:val="30"/>
          <w:highlight w:val="none"/>
        </w:rPr>
        <w:t>月</w:t>
      </w:r>
      <w:r>
        <w:rPr>
          <w:rFonts w:hint="default" w:ascii="Times New Roman" w:hAnsi="Times New Roman" w:eastAsia="仿宋_GB2312" w:cs="Times New Roman"/>
          <w:color w:val="auto"/>
          <w:kern w:val="0"/>
          <w:sz w:val="30"/>
          <w:szCs w:val="30"/>
          <w:highlight w:val="none"/>
          <w:lang w:val="en-US" w:eastAsia="zh-CN"/>
        </w:rPr>
        <w:t>会在</w:t>
      </w:r>
      <w:r>
        <w:rPr>
          <w:rFonts w:hint="default" w:ascii="Times New Roman" w:hAnsi="Times New Roman" w:eastAsia="仿宋_GB2312" w:cs="Times New Roman"/>
          <w:color w:val="auto"/>
          <w:kern w:val="0"/>
          <w:sz w:val="30"/>
          <w:szCs w:val="30"/>
          <w:highlight w:val="none"/>
        </w:rPr>
        <w:t>公司门户网站上予以发布。同时在董事会办公室备置，供投资者及利益相关人查阅，做到了信息披露的准确、真实和完整，确保股东有机会获得信息。</w:t>
      </w:r>
    </w:p>
    <w:p>
      <w:pPr>
        <w:keepNext w:val="0"/>
        <w:keepLines w:val="0"/>
        <w:pageBreakBefore w:val="0"/>
        <w:kinsoku/>
        <w:wordWrap/>
        <w:overflowPunct/>
        <w:topLinePunct w:val="0"/>
        <w:bidi w:val="0"/>
        <w:snapToGrid/>
        <w:spacing w:line="560" w:lineRule="exact"/>
        <w:ind w:firstLine="357"/>
        <w:jc w:val="both"/>
        <w:rPr>
          <w:rFonts w:hint="default" w:ascii="Times New Roman" w:hAnsi="Times New Roman" w:eastAsia="仿宋_GB2312" w:cs="Times New Roman"/>
          <w:b/>
          <w:color w:val="auto"/>
          <w:kern w:val="0"/>
          <w:sz w:val="30"/>
          <w:szCs w:val="30"/>
          <w:highlight w:val="none"/>
        </w:rPr>
      </w:pPr>
      <w:r>
        <w:rPr>
          <w:rFonts w:hint="default" w:ascii="Times New Roman" w:hAnsi="Times New Roman" w:eastAsia="仿宋_GB2312" w:cs="Times New Roman"/>
          <w:color w:val="auto"/>
          <w:kern w:val="0"/>
          <w:sz w:val="30"/>
          <w:szCs w:val="30"/>
          <w:highlight w:val="none"/>
        </w:rPr>
        <w:t xml:space="preserve"> 在投资者关系管理上，本公司一直致力于搭建良好的投资者交流沟通平台，增强与投资者交流互动的质量。报告期内，本公司通过门户网站、报刊等媒介主动向投资者展示良好的形象，进一步增进投资者对公司的了解。同时，本公司还及时、全面地向投资者披露公司财务、年度报告等信息，并通过接待来访、电话专线、电子邮箱、传真和书面信件等方式积极服务股东，及时解答股东关心的问题。</w:t>
      </w:r>
    </w:p>
    <w:p>
      <w:pPr>
        <w:keepNext w:val="0"/>
        <w:keepLines w:val="0"/>
        <w:pageBreakBefore w:val="0"/>
        <w:kinsoku/>
        <w:wordWrap/>
        <w:overflowPunct/>
        <w:topLinePunct w:val="0"/>
        <w:autoSpaceDE w:val="0"/>
        <w:autoSpaceDN w:val="0"/>
        <w:bidi w:val="0"/>
        <w:adjustRightInd w:val="0"/>
        <w:snapToGrid/>
        <w:spacing w:line="560" w:lineRule="exact"/>
        <w:ind w:firstLine="602" w:firstLineChars="200"/>
        <w:jc w:val="both"/>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b/>
          <w:color w:val="auto"/>
          <w:kern w:val="0"/>
          <w:sz w:val="30"/>
          <w:szCs w:val="30"/>
          <w:highlight w:val="none"/>
        </w:rPr>
        <w:t xml:space="preserve">7.2 </w:t>
      </w:r>
      <w:r>
        <w:rPr>
          <w:rFonts w:hint="default" w:ascii="Times New Roman" w:hAnsi="Times New Roman" w:eastAsia="仿宋_GB2312" w:cs="Times New Roman"/>
          <w:color w:val="auto"/>
          <w:kern w:val="0"/>
          <w:sz w:val="30"/>
          <w:szCs w:val="30"/>
          <w:highlight w:val="none"/>
        </w:rPr>
        <w:t xml:space="preserve"> </w:t>
      </w:r>
      <w:r>
        <w:rPr>
          <w:rFonts w:hint="default" w:ascii="Times New Roman" w:hAnsi="Times New Roman" w:eastAsia="仿宋_GB2312" w:cs="Times New Roman"/>
          <w:b/>
          <w:color w:val="auto"/>
          <w:sz w:val="30"/>
          <w:szCs w:val="30"/>
          <w:highlight w:val="none"/>
        </w:rPr>
        <w:t>经营决策体系</w:t>
      </w:r>
    </w:p>
    <w:p>
      <w:pPr>
        <w:keepNext w:val="0"/>
        <w:keepLines w:val="0"/>
        <w:pageBreakBefore w:val="0"/>
        <w:kinsoku/>
        <w:wordWrap/>
        <w:overflowPunct/>
        <w:topLinePunct w:val="0"/>
        <w:bidi w:val="0"/>
        <w:snapToGrid/>
        <w:spacing w:line="560" w:lineRule="exact"/>
        <w:ind w:firstLine="588" w:firstLineChars="196"/>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color w:val="auto"/>
          <w:sz w:val="30"/>
          <w:szCs w:val="30"/>
          <w:highlight w:val="none"/>
          <w:lang w:val="en-US" w:eastAsia="zh-CN"/>
        </w:rPr>
        <w:t>我行只有一个股东为我行发起行浙江稠州商业银行</w:t>
      </w:r>
      <w:r>
        <w:rPr>
          <w:rFonts w:hint="default" w:ascii="Times New Roman" w:hAnsi="Times New Roman" w:eastAsia="仿宋_GB2312" w:cs="Times New Roman"/>
          <w:color w:val="auto"/>
          <w:sz w:val="30"/>
          <w:szCs w:val="30"/>
          <w:highlight w:val="none"/>
        </w:rPr>
        <w:t>，董事会是股东</w:t>
      </w:r>
      <w:r>
        <w:rPr>
          <w:rFonts w:hint="default" w:ascii="Times New Roman" w:hAnsi="Times New Roman" w:eastAsia="仿宋_GB2312" w:cs="Times New Roman"/>
          <w:color w:val="auto"/>
          <w:sz w:val="30"/>
          <w:szCs w:val="30"/>
          <w:highlight w:val="none"/>
          <w:lang w:val="en-US" w:eastAsia="zh-CN"/>
        </w:rPr>
        <w:t>决定</w:t>
      </w:r>
      <w:r>
        <w:rPr>
          <w:rFonts w:hint="default" w:ascii="Times New Roman" w:hAnsi="Times New Roman" w:eastAsia="仿宋_GB2312" w:cs="Times New Roman"/>
          <w:color w:val="auto"/>
          <w:sz w:val="30"/>
          <w:szCs w:val="30"/>
          <w:highlight w:val="none"/>
        </w:rPr>
        <w:t>的执行机构，对股东负责，监事会行使监督职能。行长受聘于董事会，对本公司日</w:t>
      </w:r>
      <w:r>
        <w:rPr>
          <w:rFonts w:hint="default" w:ascii="Times New Roman" w:hAnsi="Times New Roman" w:eastAsia="仿宋_GB2312" w:cs="Times New Roman"/>
          <w:sz w:val="30"/>
          <w:szCs w:val="30"/>
          <w:highlight w:val="none"/>
        </w:rPr>
        <w:t>常经营管理全面负责。本公司实行一级法人体制，各机构经营管理活动根据总行授权进行，并对总行负责。</w:t>
      </w:r>
    </w:p>
    <w:p>
      <w:pPr>
        <w:keepNext w:val="0"/>
        <w:keepLines w:val="0"/>
        <w:pageBreakBefore w:val="0"/>
        <w:kinsoku/>
        <w:wordWrap/>
        <w:overflowPunct/>
        <w:topLinePunct w:val="0"/>
        <w:bidi w:val="0"/>
        <w:snapToGrid/>
        <w:spacing w:line="560" w:lineRule="exact"/>
        <w:ind w:firstLine="590" w:firstLineChars="196"/>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7.3 与控股股东“五分开”情况</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公司与大股东在业务、人员、资产、机构、财务五方面完全独立。公司为自主经营、自负盈亏的独立法人，具有独立、完整的业务及自主经营能力。</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8</w:t>
      </w:r>
      <w:r>
        <w:rPr>
          <w:rFonts w:hint="default" w:ascii="Times New Roman" w:hAnsi="Times New Roman" w:eastAsia="仿宋_GB2312" w:cs="Times New Roman"/>
          <w:b/>
          <w:sz w:val="30"/>
          <w:szCs w:val="30"/>
          <w:highlight w:val="none"/>
          <w:lang w:eastAsia="zh-CN"/>
        </w:rPr>
        <w:t>、</w:t>
      </w:r>
      <w:r>
        <w:rPr>
          <w:rFonts w:hint="default" w:ascii="Times New Roman" w:hAnsi="Times New Roman" w:eastAsia="仿宋_GB2312" w:cs="Times New Roman"/>
          <w:b/>
          <w:sz w:val="30"/>
          <w:szCs w:val="30"/>
          <w:highlight w:val="none"/>
        </w:rPr>
        <w:t>公司风险管理状况</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sz w:val="30"/>
          <w:szCs w:val="30"/>
          <w:highlight w:val="none"/>
          <w:shd w:val="clear" w:color="auto" w:fill="FFFFFF"/>
        </w:rPr>
        <w:t>报告期内，本行深化全面风险管理文化建设，明确风险管理战略与风险偏好，完善政策制度，健全组织架构，创新管理工具，强化风险绩效考核，加强队伍建设，建立了适应本行战略发展需要的全面风险管理体系</w:t>
      </w:r>
      <w:r>
        <w:rPr>
          <w:rFonts w:hint="default" w:ascii="Times New Roman" w:hAnsi="Times New Roman" w:eastAsia="仿宋_GB2312" w:cs="Times New Roman"/>
          <w:sz w:val="30"/>
          <w:szCs w:val="30"/>
          <w:highlight w:val="none"/>
        </w:rPr>
        <w:t>，促进了各项业务的稳健发展。</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8.1  信用风险</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行所面临的信用风险是指交易对方无法在到期日履行合同义务的风险。信用风险是本行在经营活动中所面临的最重要的风险，管理层对信用风险敞口采取审慎的原则进行管理。本行的信用风险主要来源于贷款和资金业务。目前本行由信贷评审委员会对信用风险防范进行决策和统筹协调，采取专业化授信评审、集中质量监控、问题资产集中</w:t>
      </w:r>
      <w:r>
        <w:rPr>
          <w:rFonts w:hint="default" w:ascii="Times New Roman" w:hAnsi="Times New Roman" w:eastAsia="仿宋_GB2312" w:cs="Times New Roman"/>
          <w:color w:val="auto"/>
          <w:sz w:val="30"/>
          <w:szCs w:val="30"/>
          <w:highlight w:val="none"/>
          <w:lang w:val="en-US" w:eastAsia="zh-CN"/>
        </w:rPr>
        <w:t>处置</w:t>
      </w:r>
      <w:r>
        <w:rPr>
          <w:rFonts w:hint="default" w:ascii="Times New Roman" w:hAnsi="Times New Roman" w:eastAsia="仿宋_GB2312" w:cs="Times New Roman"/>
          <w:color w:val="auto"/>
          <w:sz w:val="30"/>
          <w:szCs w:val="30"/>
          <w:highlight w:val="none"/>
        </w:rPr>
        <w:t>和清收等主要手段进行信用风险管理。</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b/>
          <w:color w:val="auto"/>
          <w:sz w:val="30"/>
          <w:szCs w:val="30"/>
          <w:highlight w:val="none"/>
          <w:shd w:val="clear" w:color="auto" w:fill="FFFFFF"/>
        </w:rPr>
      </w:pPr>
      <w:r>
        <w:rPr>
          <w:rFonts w:hint="default" w:ascii="Times New Roman" w:hAnsi="Times New Roman" w:eastAsia="仿宋_GB2312" w:cs="Times New Roman"/>
          <w:color w:val="auto"/>
          <w:sz w:val="30"/>
          <w:szCs w:val="30"/>
          <w:highlight w:val="none"/>
          <w:shd w:val="clear" w:color="auto" w:fill="FFFFFF"/>
          <w:lang w:val="en-US" w:eastAsia="zh-CN"/>
        </w:rPr>
        <w:t xml:space="preserve"> </w:t>
      </w:r>
      <w:r>
        <w:rPr>
          <w:rFonts w:hint="default" w:ascii="Times New Roman" w:hAnsi="Times New Roman" w:eastAsia="仿宋_GB2312" w:cs="Times New Roman"/>
          <w:sz w:val="30"/>
          <w:szCs w:val="30"/>
          <w:highlight w:val="none"/>
          <w:shd w:val="clear" w:color="auto" w:fill="FFFFFF"/>
        </w:rPr>
        <w:t>报告期内，我行信用风险较去年大幅增加，截至202</w:t>
      </w:r>
      <w:r>
        <w:rPr>
          <w:rFonts w:hint="eastAsia" w:eastAsia="仿宋_GB2312" w:cs="Times New Roman"/>
          <w:sz w:val="30"/>
          <w:szCs w:val="30"/>
          <w:highlight w:val="none"/>
          <w:shd w:val="clear" w:color="auto" w:fill="FFFFFF"/>
          <w:lang w:val="en-US" w:eastAsia="zh-CN"/>
        </w:rPr>
        <w:t>5</w:t>
      </w:r>
      <w:r>
        <w:rPr>
          <w:rFonts w:hint="default" w:ascii="Times New Roman" w:hAnsi="Times New Roman" w:eastAsia="仿宋_GB2312" w:cs="Times New Roman"/>
          <w:sz w:val="30"/>
          <w:szCs w:val="30"/>
          <w:highlight w:val="none"/>
          <w:shd w:val="clear" w:color="auto" w:fill="FFFFFF"/>
        </w:rPr>
        <w:t>年12月31日,</w:t>
      </w:r>
      <w:r>
        <w:rPr>
          <w:rFonts w:hint="default" w:ascii="Times New Roman" w:hAnsi="Times New Roman" w:eastAsia="仿宋_GB2312" w:cs="Times New Roman"/>
          <w:color w:val="FF0000"/>
          <w:sz w:val="30"/>
          <w:szCs w:val="30"/>
          <w:highlight w:val="none"/>
          <w:shd w:val="clear" w:color="auto" w:fill="FFFFFF"/>
        </w:rPr>
        <w:t>我行各项贷款余额</w:t>
      </w:r>
      <w:r>
        <w:rPr>
          <w:rFonts w:hint="default" w:ascii="Times New Roman" w:hAnsi="Times New Roman" w:eastAsia="仿宋_GB2312" w:cs="Times New Roman"/>
          <w:color w:val="FF0000"/>
          <w:sz w:val="30"/>
          <w:szCs w:val="30"/>
          <w:highlight w:val="none"/>
          <w:shd w:val="clear" w:color="auto" w:fill="FFFFFF"/>
          <w:lang w:val="en-US"/>
        </w:rPr>
        <w:t>60443.95</w:t>
      </w:r>
      <w:r>
        <w:rPr>
          <w:rFonts w:hint="default" w:ascii="Times New Roman" w:hAnsi="Times New Roman" w:eastAsia="仿宋_GB2312" w:cs="Times New Roman"/>
          <w:color w:val="FF0000"/>
          <w:sz w:val="30"/>
          <w:szCs w:val="30"/>
          <w:highlight w:val="none"/>
          <w:shd w:val="clear" w:color="auto" w:fill="FFFFFF"/>
        </w:rPr>
        <w:t>万元，较年初</w:t>
      </w:r>
      <w:r>
        <w:rPr>
          <w:rFonts w:hint="default" w:ascii="Times New Roman" w:hAnsi="Times New Roman" w:eastAsia="仿宋_GB2312" w:cs="Times New Roman"/>
          <w:color w:val="FF0000"/>
          <w:sz w:val="30"/>
          <w:szCs w:val="30"/>
          <w:highlight w:val="none"/>
          <w:shd w:val="clear" w:color="auto" w:fill="FFFFFF"/>
          <w:lang w:val="en-US" w:eastAsia="zh-CN"/>
        </w:rPr>
        <w:t>增加8647.12</w:t>
      </w:r>
      <w:r>
        <w:rPr>
          <w:rFonts w:hint="default" w:ascii="Times New Roman" w:hAnsi="Times New Roman" w:eastAsia="仿宋_GB2312" w:cs="Times New Roman"/>
          <w:color w:val="FF0000"/>
          <w:sz w:val="30"/>
          <w:szCs w:val="30"/>
          <w:highlight w:val="none"/>
          <w:shd w:val="clear" w:color="auto" w:fill="FFFFFF"/>
        </w:rPr>
        <w:t>万元，</w:t>
      </w:r>
      <w:r>
        <w:rPr>
          <w:rFonts w:hint="default" w:ascii="Times New Roman" w:hAnsi="Times New Roman" w:eastAsia="仿宋_GB2312" w:cs="Times New Roman"/>
          <w:color w:val="FF0000"/>
          <w:sz w:val="30"/>
          <w:szCs w:val="30"/>
          <w:highlight w:val="none"/>
          <w:shd w:val="clear" w:color="auto" w:fill="FFFFFF"/>
          <w:lang w:val="en-US" w:eastAsia="zh-CN"/>
        </w:rPr>
        <w:t>增</w:t>
      </w:r>
      <w:r>
        <w:rPr>
          <w:rFonts w:hint="default" w:ascii="Times New Roman" w:hAnsi="Times New Roman" w:eastAsia="仿宋_GB2312" w:cs="Times New Roman"/>
          <w:color w:val="FF0000"/>
          <w:sz w:val="30"/>
          <w:szCs w:val="30"/>
          <w:highlight w:val="none"/>
          <w:shd w:val="clear" w:color="auto" w:fill="FFFFFF"/>
        </w:rPr>
        <w:t>幅</w:t>
      </w:r>
      <w:r>
        <w:rPr>
          <w:rFonts w:hint="default" w:ascii="Times New Roman" w:hAnsi="Times New Roman" w:eastAsia="仿宋_GB2312" w:cs="Times New Roman"/>
          <w:color w:val="FF0000"/>
          <w:sz w:val="30"/>
          <w:szCs w:val="30"/>
          <w:highlight w:val="none"/>
          <w:shd w:val="clear" w:color="auto" w:fill="FFFFFF"/>
          <w:lang w:val="en-US" w:eastAsia="zh-CN"/>
        </w:rPr>
        <w:t>16.69</w:t>
      </w:r>
      <w:r>
        <w:rPr>
          <w:rFonts w:hint="default" w:ascii="Times New Roman" w:hAnsi="Times New Roman" w:eastAsia="仿宋_GB2312" w:cs="Times New Roman"/>
          <w:color w:val="FF0000"/>
          <w:sz w:val="30"/>
          <w:szCs w:val="30"/>
          <w:highlight w:val="none"/>
          <w:shd w:val="clear" w:color="auto" w:fill="FFFFFF"/>
        </w:rPr>
        <w:t>%，其中：不良贷款余额</w:t>
      </w:r>
      <w:r>
        <w:rPr>
          <w:rFonts w:hint="default" w:ascii="Times New Roman" w:hAnsi="Times New Roman" w:eastAsia="仿宋_GB2312" w:cs="Times New Roman"/>
          <w:color w:val="FF0000"/>
          <w:sz w:val="30"/>
          <w:szCs w:val="30"/>
          <w:highlight w:val="none"/>
          <w:shd w:val="clear" w:color="auto" w:fill="FFFFFF"/>
          <w:lang w:val="en-US" w:eastAsia="zh-CN"/>
        </w:rPr>
        <w:t>1573.74</w:t>
      </w:r>
      <w:r>
        <w:rPr>
          <w:rFonts w:hint="default" w:ascii="Times New Roman" w:hAnsi="Times New Roman" w:eastAsia="仿宋_GB2312" w:cs="Times New Roman"/>
          <w:color w:val="FF0000"/>
          <w:sz w:val="30"/>
          <w:szCs w:val="30"/>
          <w:highlight w:val="none"/>
          <w:shd w:val="clear" w:color="auto" w:fill="FFFFFF"/>
        </w:rPr>
        <w:t>万元，较年初增加</w:t>
      </w:r>
      <w:r>
        <w:rPr>
          <w:rFonts w:hint="default" w:ascii="Times New Roman" w:hAnsi="Times New Roman" w:eastAsia="仿宋_GB2312" w:cs="Times New Roman"/>
          <w:color w:val="FF0000"/>
          <w:sz w:val="30"/>
          <w:szCs w:val="30"/>
          <w:highlight w:val="none"/>
          <w:shd w:val="clear" w:color="auto" w:fill="FFFFFF"/>
          <w:lang w:val="en-US" w:eastAsia="zh-CN"/>
        </w:rPr>
        <w:t>181.96</w:t>
      </w:r>
      <w:r>
        <w:rPr>
          <w:rFonts w:hint="default" w:ascii="Times New Roman" w:hAnsi="Times New Roman" w:eastAsia="仿宋_GB2312" w:cs="Times New Roman"/>
          <w:color w:val="FF0000"/>
          <w:sz w:val="30"/>
          <w:szCs w:val="30"/>
          <w:highlight w:val="none"/>
          <w:shd w:val="clear" w:color="auto" w:fill="FFFFFF"/>
        </w:rPr>
        <w:t>万元，贷款不良率</w:t>
      </w:r>
      <w:r>
        <w:rPr>
          <w:rFonts w:hint="default" w:ascii="Times New Roman" w:hAnsi="Times New Roman" w:eastAsia="仿宋_GB2312" w:cs="Times New Roman"/>
          <w:color w:val="FF0000"/>
          <w:sz w:val="30"/>
          <w:szCs w:val="30"/>
          <w:highlight w:val="none"/>
          <w:shd w:val="clear" w:color="auto" w:fill="FFFFFF"/>
          <w:lang w:val="en-US" w:eastAsia="zh-CN"/>
        </w:rPr>
        <w:t>2.60</w:t>
      </w:r>
      <w:r>
        <w:rPr>
          <w:rFonts w:hint="default" w:ascii="Times New Roman" w:hAnsi="Times New Roman" w:eastAsia="仿宋_GB2312" w:cs="Times New Roman"/>
          <w:color w:val="FF0000"/>
          <w:sz w:val="30"/>
          <w:szCs w:val="30"/>
          <w:highlight w:val="none"/>
          <w:shd w:val="clear" w:color="auto" w:fill="FFFFFF"/>
        </w:rPr>
        <w:t>%，较年初</w:t>
      </w:r>
      <w:r>
        <w:rPr>
          <w:rFonts w:hint="default" w:ascii="Times New Roman" w:hAnsi="Times New Roman" w:eastAsia="仿宋_GB2312" w:cs="Times New Roman"/>
          <w:color w:val="FF0000"/>
          <w:sz w:val="30"/>
          <w:szCs w:val="30"/>
          <w:highlight w:val="none"/>
          <w:shd w:val="clear" w:color="auto" w:fill="FFFFFF"/>
          <w:lang w:val="en-US" w:eastAsia="zh-CN"/>
        </w:rPr>
        <w:t>减少0.09</w:t>
      </w:r>
      <w:r>
        <w:rPr>
          <w:rFonts w:hint="default" w:ascii="Times New Roman" w:hAnsi="Times New Roman" w:eastAsia="仿宋_GB2312" w:cs="Times New Roman"/>
          <w:color w:val="FF0000"/>
          <w:sz w:val="30"/>
          <w:szCs w:val="30"/>
          <w:highlight w:val="none"/>
          <w:shd w:val="clear" w:color="auto" w:fill="FFFFFF"/>
        </w:rPr>
        <w:t>个百分点，现有不良拨备金额</w:t>
      </w:r>
      <w:r>
        <w:rPr>
          <w:rFonts w:hint="default" w:ascii="Times New Roman" w:hAnsi="Times New Roman" w:eastAsia="仿宋_GB2312" w:cs="Times New Roman"/>
          <w:color w:val="FF0000"/>
          <w:sz w:val="30"/>
          <w:szCs w:val="30"/>
          <w:highlight w:val="none"/>
          <w:shd w:val="clear" w:color="auto" w:fill="FFFFFF"/>
          <w:lang w:val="en-US" w:eastAsia="zh-CN"/>
        </w:rPr>
        <w:t>2442.69</w:t>
      </w:r>
      <w:r>
        <w:rPr>
          <w:rFonts w:hint="default" w:ascii="Times New Roman" w:hAnsi="Times New Roman" w:eastAsia="仿宋_GB2312" w:cs="Times New Roman"/>
          <w:color w:val="FF0000"/>
          <w:sz w:val="30"/>
          <w:szCs w:val="30"/>
          <w:highlight w:val="none"/>
          <w:shd w:val="clear" w:color="auto" w:fill="FFFFFF"/>
        </w:rPr>
        <w:t>万元，拨备覆盖率</w:t>
      </w:r>
      <w:r>
        <w:rPr>
          <w:rFonts w:hint="default" w:ascii="Times New Roman" w:hAnsi="Times New Roman" w:eastAsia="仿宋_GB2312" w:cs="Times New Roman"/>
          <w:color w:val="FF0000"/>
          <w:sz w:val="30"/>
          <w:szCs w:val="30"/>
          <w:highlight w:val="none"/>
          <w:shd w:val="clear" w:color="auto" w:fill="FFFFFF"/>
          <w:lang w:val="en-US" w:eastAsia="zh-CN"/>
        </w:rPr>
        <w:t>155.22</w:t>
      </w:r>
      <w:r>
        <w:rPr>
          <w:rFonts w:hint="default" w:ascii="Times New Roman" w:hAnsi="Times New Roman" w:eastAsia="仿宋_GB2312" w:cs="Times New Roman"/>
          <w:color w:val="FF0000"/>
          <w:sz w:val="30"/>
          <w:szCs w:val="30"/>
          <w:highlight w:val="none"/>
          <w:shd w:val="clear" w:color="auto" w:fill="FFFFFF"/>
        </w:rPr>
        <w:t>%。</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color w:val="auto"/>
          <w:sz w:val="30"/>
          <w:szCs w:val="30"/>
          <w:highlight w:val="none"/>
        </w:rPr>
        <w:t>8.2  市场风险</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市场风险是指市场状况变化对未来收益、公允价值、未来现金流造成的潜在损失。市场风险是由于市场的一般或特定变化对利率、货币和衍生金融工具交易敞口头寸造成影响而产生。市场风险可能影响所有市场风险敏感性金融产品，包括贷款、存款、拆放、证券以及衍生金融工具。</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color w:val="auto"/>
          <w:sz w:val="30"/>
          <w:szCs w:val="30"/>
          <w:highlight w:val="none"/>
        </w:rPr>
        <w:t>本行的业务分为交易账户和银行账户。交易账户包括由以交易为目的持有及为规避交易账户市场风险而持有的可以自由交易的金融工具和商品头寸。交易账户旨在从短期价格波动中赢利。风险管理部针对交易账户和投资类银行账户履行识别、计量和监测风险的职能。银行账户指交易账户之外的资产和负债。</w:t>
      </w:r>
      <w:r>
        <w:rPr>
          <w:rFonts w:hint="default" w:ascii="Times New Roman" w:hAnsi="Times New Roman" w:eastAsia="仿宋_GB2312" w:cs="Times New Roman"/>
          <w:color w:val="auto"/>
          <w:sz w:val="30"/>
          <w:szCs w:val="30"/>
          <w:highlight w:val="none"/>
          <w:lang w:val="en-US" w:eastAsia="zh-CN"/>
        </w:rPr>
        <w:t>运营管理部</w:t>
      </w:r>
      <w:r>
        <w:rPr>
          <w:rFonts w:hint="default" w:ascii="Times New Roman" w:hAnsi="Times New Roman" w:eastAsia="仿宋_GB2312" w:cs="Times New Roman"/>
          <w:color w:val="auto"/>
          <w:sz w:val="30"/>
          <w:szCs w:val="30"/>
          <w:highlight w:val="none"/>
        </w:rPr>
        <w:t>针对银行帐户利率风险履行识别、计量和监测风险的职能。</w:t>
      </w:r>
    </w:p>
    <w:p>
      <w:pPr>
        <w:keepNext w:val="0"/>
        <w:keepLines w:val="0"/>
        <w:pageBreakBefore w:val="0"/>
        <w:kinsoku/>
        <w:wordWrap/>
        <w:overflowPunct/>
        <w:topLinePunct w:val="0"/>
        <w:bidi w:val="0"/>
        <w:snapToGrid/>
        <w:spacing w:line="560" w:lineRule="exact"/>
        <w:ind w:firstLine="590" w:firstLineChars="196"/>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color w:val="auto"/>
          <w:sz w:val="30"/>
          <w:szCs w:val="30"/>
          <w:highlight w:val="none"/>
        </w:rPr>
        <w:t>8.3  流动性风险</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流动性风险是指资产负债现金流错配而不能完全履行支付义务的风险。本行面临各类日常现金提款的要求，其中包括通知存款、活期存款、到期的定期存款、客户贷款提款、担保</w:t>
      </w:r>
      <w:r>
        <w:rPr>
          <w:rFonts w:hint="default" w:ascii="Times New Roman" w:hAnsi="Times New Roman" w:eastAsia="仿宋_GB2312" w:cs="Times New Roman"/>
          <w:color w:val="auto"/>
          <w:sz w:val="30"/>
          <w:szCs w:val="30"/>
          <w:highlight w:val="none"/>
          <w:lang w:eastAsia="zh-CN"/>
        </w:rPr>
        <w:t>等</w:t>
      </w:r>
      <w:r>
        <w:rPr>
          <w:rFonts w:hint="default" w:ascii="Times New Roman" w:hAnsi="Times New Roman" w:eastAsia="仿宋_GB2312" w:cs="Times New Roman"/>
          <w:color w:val="auto"/>
          <w:sz w:val="30"/>
          <w:szCs w:val="30"/>
          <w:highlight w:val="none"/>
        </w:rPr>
        <w:t>付款要求。根据历史经验，相当一部分到期的存款并不会在到期日立即提走，而是续留本行，但同时为确保应对不可预料的资金需求，本行规定了最低的资金存量标准。</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color w:val="auto"/>
          <w:sz w:val="30"/>
          <w:szCs w:val="30"/>
          <w:highlight w:val="none"/>
        </w:rPr>
        <w:t>20</w:t>
      </w:r>
      <w:r>
        <w:rPr>
          <w:rFonts w:hint="default" w:ascii="Times New Roman" w:hAnsi="Times New Roman" w:eastAsia="仿宋_GB2312" w:cs="Times New Roman"/>
          <w:color w:val="auto"/>
          <w:sz w:val="30"/>
          <w:szCs w:val="30"/>
          <w:highlight w:val="none"/>
          <w:lang w:val="en-US"/>
        </w:rPr>
        <w:t>2</w:t>
      </w:r>
      <w:r>
        <w:rPr>
          <w:rFonts w:hint="eastAsia"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rPr>
        <w:t>年度，本行开展了流动性风险压力测试及评估工作，定量评估利率市场化对流动性风险管理的具体影响；同时，本行还积极采取各项措施，保持存款稳定增长，避免出现持续流失；加强资金头寸管理，合理配置同业业务与投资期限结构，正确把握好资金流动性与盈利性之间的关系。</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color w:val="auto"/>
          <w:sz w:val="30"/>
          <w:szCs w:val="30"/>
          <w:highlight w:val="none"/>
        </w:rPr>
        <w:t>8.4  操作风险</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color w:val="auto"/>
          <w:sz w:val="30"/>
          <w:szCs w:val="30"/>
          <w:highlight w:val="none"/>
        </w:rPr>
        <w:t>操作风险是指由于不完善或有问题的内部操作过程、人员、系统或外部事件而导致的直接或间接损失的风险。本行已建立了适当的政策和程序去降低日常经营中可能发生的风险。程序包括对岗位控制方面的AB角设定、重要资产的保管制度、要求编制人和审核人在每笔交易的传票上签名、设置操作权限、设定业务审批限额、关键岗位的轮岗和强制休假等。同时，本行的管理层具备充分的经验和能力，能够保证控制程序在日常运作中得以有效地实施。本行各个业务部门都建立有较详细的工作流程和相关的操作手册，并定期进行更新和人员培训，从程序上降低了操作风险。员工都有较明确的授权，包括员工的业务操作范围和批准的操作权限。</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color w:val="auto"/>
          <w:sz w:val="30"/>
          <w:szCs w:val="30"/>
          <w:highlight w:val="none"/>
        </w:rPr>
        <w:t>8.5  其他风险</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color w:val="auto"/>
          <w:kern w:val="0"/>
          <w:sz w:val="30"/>
          <w:szCs w:val="30"/>
          <w:highlight w:val="none"/>
        </w:rPr>
        <w:t>声誉风险方面：我行将声誉风险纳入到全面风险管理体系，完善了声誉风险管理机制，积极开展声誉风险培训，与信息科技公司合作，全面提高舆情检测力度，持续提升舆情应对处置能力，不断加强对重点领域和关键环节的控制，报告期内无重大声誉风险事件发生。</w:t>
      </w:r>
    </w:p>
    <w:p>
      <w:pPr>
        <w:keepNext w:val="0"/>
        <w:keepLines w:val="0"/>
        <w:pageBreakBefore w:val="0"/>
        <w:kinsoku/>
        <w:wordWrap/>
        <w:overflowPunct/>
        <w:topLinePunct w:val="0"/>
        <w:autoSpaceDE w:val="0"/>
        <w:autoSpaceDN w:val="0"/>
        <w:bidi w:val="0"/>
        <w:adjustRightInd w:val="0"/>
        <w:snapToGrid/>
        <w:spacing w:line="560" w:lineRule="exact"/>
        <w:ind w:firstLine="600" w:firstLineChars="200"/>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color w:val="auto"/>
          <w:kern w:val="0"/>
          <w:sz w:val="30"/>
          <w:szCs w:val="30"/>
          <w:highlight w:val="none"/>
        </w:rPr>
        <w:t>法律与合规风险方面：本公司在报告期内无重大损失性事件、无重大违规违法案件发生。</w:t>
      </w:r>
    </w:p>
    <w:p>
      <w:pPr>
        <w:keepNext w:val="0"/>
        <w:keepLines w:val="0"/>
        <w:pageBreakBefore w:val="0"/>
        <w:kinsoku/>
        <w:wordWrap/>
        <w:overflowPunct/>
        <w:topLinePunct w:val="0"/>
        <w:bidi w:val="0"/>
        <w:snapToGrid/>
        <w:spacing w:line="560" w:lineRule="exact"/>
        <w:ind w:left="479" w:leftChars="228" w:firstLine="12" w:firstLineChars="4"/>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color w:val="auto"/>
          <w:sz w:val="30"/>
          <w:szCs w:val="30"/>
          <w:highlight w:val="none"/>
        </w:rPr>
        <w:t>9</w:t>
      </w:r>
      <w:r>
        <w:rPr>
          <w:rFonts w:hint="default" w:ascii="Times New Roman" w:hAnsi="Times New Roman" w:eastAsia="仿宋_GB2312" w:cs="Times New Roman"/>
          <w:b/>
          <w:color w:val="auto"/>
          <w:sz w:val="30"/>
          <w:szCs w:val="30"/>
          <w:highlight w:val="none"/>
          <w:lang w:eastAsia="zh-CN"/>
        </w:rPr>
        <w:t>、</w:t>
      </w:r>
      <w:r>
        <w:rPr>
          <w:rFonts w:hint="default" w:ascii="Times New Roman" w:hAnsi="Times New Roman" w:eastAsia="仿宋_GB2312" w:cs="Times New Roman"/>
          <w:b/>
          <w:color w:val="auto"/>
          <w:sz w:val="30"/>
          <w:szCs w:val="30"/>
          <w:highlight w:val="none"/>
        </w:rPr>
        <w:t>股东情况</w:t>
      </w:r>
    </w:p>
    <w:p>
      <w:pPr>
        <w:keepNext w:val="0"/>
        <w:keepLines w:val="0"/>
        <w:pageBreakBefore w:val="0"/>
        <w:kinsoku/>
        <w:wordWrap/>
        <w:overflowPunct/>
        <w:topLinePunct w:val="0"/>
        <w:bidi w:val="0"/>
        <w:adjustRightInd w:val="0"/>
        <w:snapToGrid/>
        <w:spacing w:line="560" w:lineRule="exact"/>
        <w:ind w:firstLine="600" w:firstLineChars="200"/>
        <w:rPr>
          <w:rFonts w:hint="default" w:ascii="Times New Roman" w:hAnsi="Times New Roman" w:eastAsia="仿宋_GB2312" w:cs="Times New Roman"/>
          <w:b w:val="0"/>
          <w:i w:val="0"/>
          <w:caps w:val="0"/>
          <w:color w:val="FF0000"/>
          <w:spacing w:val="0"/>
          <w:kern w:val="0"/>
          <w:sz w:val="30"/>
          <w:szCs w:val="30"/>
          <w:highlight w:val="none"/>
          <w:lang w:eastAsia="zh-CN"/>
        </w:rPr>
      </w:pPr>
      <w:r>
        <w:rPr>
          <w:rFonts w:hint="default" w:ascii="Times New Roman" w:hAnsi="Times New Roman" w:eastAsia="仿宋_GB2312" w:cs="Times New Roman"/>
          <w:b w:val="0"/>
          <w:i w:val="0"/>
          <w:caps w:val="0"/>
          <w:color w:val="FF0000"/>
          <w:spacing w:val="0"/>
          <w:kern w:val="0"/>
          <w:sz w:val="30"/>
          <w:szCs w:val="30"/>
          <w:highlight w:val="none"/>
          <w:shd w:val="clear" w:color="auto" w:fill="auto"/>
        </w:rPr>
        <w:t>浙</w:t>
      </w:r>
      <w:r>
        <w:rPr>
          <w:rFonts w:hint="default" w:ascii="Times New Roman" w:hAnsi="Times New Roman" w:eastAsia="仿宋_GB2312" w:cs="Times New Roman"/>
          <w:b w:val="0"/>
          <w:i w:val="0"/>
          <w:caps w:val="0"/>
          <w:color w:val="FF0000"/>
          <w:spacing w:val="0"/>
          <w:kern w:val="0"/>
          <w:sz w:val="30"/>
          <w:szCs w:val="30"/>
          <w:highlight w:val="none"/>
        </w:rPr>
        <w:t>江稠州商业银行注册资本35亿元，202</w:t>
      </w:r>
      <w:r>
        <w:rPr>
          <w:rFonts w:hint="default" w:ascii="Times New Roman" w:hAnsi="Times New Roman" w:eastAsia="仿宋_GB2312" w:cs="Times New Roman"/>
          <w:b w:val="0"/>
          <w:i w:val="0"/>
          <w:caps w:val="0"/>
          <w:color w:val="FF0000"/>
          <w:spacing w:val="0"/>
          <w:kern w:val="0"/>
          <w:sz w:val="30"/>
          <w:szCs w:val="30"/>
          <w:highlight w:val="none"/>
          <w:lang w:val="en-US" w:eastAsia="zh-CN"/>
        </w:rPr>
        <w:t>2</w:t>
      </w:r>
      <w:r>
        <w:rPr>
          <w:rFonts w:hint="default" w:ascii="Times New Roman" w:hAnsi="Times New Roman" w:eastAsia="仿宋_GB2312" w:cs="Times New Roman"/>
          <w:b w:val="0"/>
          <w:i w:val="0"/>
          <w:caps w:val="0"/>
          <w:color w:val="FF0000"/>
          <w:spacing w:val="0"/>
          <w:kern w:val="0"/>
          <w:sz w:val="30"/>
          <w:szCs w:val="30"/>
          <w:highlight w:val="none"/>
        </w:rPr>
        <w:t>年末资产总额</w:t>
      </w:r>
      <w:r>
        <w:rPr>
          <w:rFonts w:hint="default" w:ascii="Times New Roman" w:hAnsi="Times New Roman" w:eastAsia="仿宋_GB2312" w:cs="Times New Roman"/>
          <w:b w:val="0"/>
          <w:i w:val="0"/>
          <w:caps w:val="0"/>
          <w:color w:val="FF0000"/>
          <w:spacing w:val="0"/>
          <w:kern w:val="0"/>
          <w:sz w:val="30"/>
          <w:szCs w:val="30"/>
          <w:highlight w:val="none"/>
          <w:lang w:val="en-US" w:eastAsia="zh-CN"/>
        </w:rPr>
        <w:t>3270</w:t>
      </w:r>
      <w:r>
        <w:rPr>
          <w:rFonts w:hint="default" w:ascii="Times New Roman" w:hAnsi="Times New Roman" w:eastAsia="仿宋_GB2312" w:cs="Times New Roman"/>
          <w:b w:val="0"/>
          <w:i w:val="0"/>
          <w:caps w:val="0"/>
          <w:color w:val="FF0000"/>
          <w:spacing w:val="0"/>
          <w:kern w:val="0"/>
          <w:sz w:val="30"/>
          <w:szCs w:val="30"/>
          <w:highlight w:val="none"/>
        </w:rPr>
        <w:t>亿元，</w:t>
      </w:r>
      <w:r>
        <w:rPr>
          <w:rFonts w:hint="default" w:ascii="Times New Roman" w:hAnsi="Times New Roman" w:eastAsia="仿宋_GB2312" w:cs="Times New Roman"/>
          <w:b w:val="0"/>
          <w:i w:val="0"/>
          <w:caps w:val="0"/>
          <w:color w:val="FF0000"/>
          <w:spacing w:val="0"/>
          <w:kern w:val="0"/>
          <w:sz w:val="30"/>
          <w:szCs w:val="30"/>
          <w:highlight w:val="none"/>
          <w:lang w:val="en-US" w:eastAsia="zh-CN"/>
        </w:rPr>
        <w:t>2022</w:t>
      </w:r>
      <w:r>
        <w:rPr>
          <w:rFonts w:hint="default" w:ascii="Times New Roman" w:hAnsi="Times New Roman" w:eastAsia="仿宋_GB2312" w:cs="Times New Roman"/>
          <w:b w:val="0"/>
          <w:i w:val="0"/>
          <w:caps w:val="0"/>
          <w:color w:val="FF0000"/>
          <w:spacing w:val="0"/>
          <w:kern w:val="0"/>
          <w:sz w:val="30"/>
          <w:szCs w:val="30"/>
          <w:highlight w:val="none"/>
        </w:rPr>
        <w:t>年末下设义乌管理部及金华分行等14个分行，下辖18</w:t>
      </w:r>
      <w:r>
        <w:rPr>
          <w:rFonts w:hint="default" w:ascii="Times New Roman" w:hAnsi="Times New Roman" w:eastAsia="仿宋_GB2312" w:cs="Times New Roman"/>
          <w:b w:val="0"/>
          <w:i w:val="0"/>
          <w:caps w:val="0"/>
          <w:color w:val="FF0000"/>
          <w:spacing w:val="0"/>
          <w:kern w:val="0"/>
          <w:sz w:val="30"/>
          <w:szCs w:val="30"/>
          <w:highlight w:val="none"/>
          <w:lang w:val="en-US" w:eastAsia="zh-CN"/>
        </w:rPr>
        <w:t>7</w:t>
      </w:r>
      <w:r>
        <w:rPr>
          <w:rFonts w:hint="default" w:ascii="Times New Roman" w:hAnsi="Times New Roman" w:eastAsia="仿宋_GB2312" w:cs="Times New Roman"/>
          <w:b w:val="0"/>
          <w:i w:val="0"/>
          <w:caps w:val="0"/>
          <w:color w:val="FF0000"/>
          <w:spacing w:val="0"/>
          <w:kern w:val="0"/>
          <w:sz w:val="30"/>
          <w:szCs w:val="30"/>
          <w:highlight w:val="none"/>
        </w:rPr>
        <w:t>个支行。发起成立村镇银行9家及金融租赁公司1家，202</w:t>
      </w:r>
      <w:r>
        <w:rPr>
          <w:rFonts w:hint="default" w:ascii="Times New Roman" w:hAnsi="Times New Roman" w:eastAsia="仿宋_GB2312" w:cs="Times New Roman"/>
          <w:b w:val="0"/>
          <w:i w:val="0"/>
          <w:caps w:val="0"/>
          <w:color w:val="FF0000"/>
          <w:spacing w:val="0"/>
          <w:kern w:val="0"/>
          <w:sz w:val="30"/>
          <w:szCs w:val="30"/>
          <w:highlight w:val="none"/>
          <w:lang w:val="en-US" w:eastAsia="zh-CN"/>
        </w:rPr>
        <w:t>2</w:t>
      </w:r>
      <w:r>
        <w:rPr>
          <w:rFonts w:hint="default" w:ascii="Times New Roman" w:hAnsi="Times New Roman" w:eastAsia="仿宋_GB2312" w:cs="Times New Roman"/>
          <w:b w:val="0"/>
          <w:i w:val="0"/>
          <w:caps w:val="0"/>
          <w:color w:val="FF0000"/>
          <w:spacing w:val="0"/>
          <w:kern w:val="0"/>
          <w:sz w:val="30"/>
          <w:szCs w:val="30"/>
          <w:highlight w:val="none"/>
        </w:rPr>
        <w:t>年英国《银行家》全球银行排名第360位。</w:t>
      </w:r>
    </w:p>
    <w:p>
      <w:pPr>
        <w:keepNext w:val="0"/>
        <w:keepLines w:val="0"/>
        <w:pageBreakBefore w:val="0"/>
        <w:kinsoku/>
        <w:wordWrap/>
        <w:overflowPunct/>
        <w:topLinePunct w:val="0"/>
        <w:bidi w:val="0"/>
        <w:adjustRightInd w:val="0"/>
        <w:snapToGrid/>
        <w:spacing w:line="560" w:lineRule="exact"/>
        <w:ind w:firstLine="602"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10</w:t>
      </w:r>
      <w:r>
        <w:rPr>
          <w:rFonts w:hint="default" w:ascii="Times New Roman" w:hAnsi="Times New Roman" w:eastAsia="仿宋_GB2312" w:cs="Times New Roman"/>
          <w:b/>
          <w:bCs/>
          <w:color w:val="auto"/>
          <w:sz w:val="30"/>
          <w:szCs w:val="30"/>
          <w:highlight w:val="none"/>
          <w:lang w:eastAsia="zh-CN"/>
        </w:rPr>
        <w:t>、</w:t>
      </w:r>
      <w:r>
        <w:rPr>
          <w:rFonts w:hint="default" w:ascii="Times New Roman" w:hAnsi="Times New Roman" w:eastAsia="仿宋_GB2312" w:cs="Times New Roman"/>
          <w:b/>
          <w:bCs/>
          <w:color w:val="auto"/>
          <w:sz w:val="30"/>
          <w:szCs w:val="30"/>
          <w:highlight w:val="none"/>
        </w:rPr>
        <w:t>董事会报告</w:t>
      </w:r>
    </w:p>
    <w:p>
      <w:pPr>
        <w:keepNext w:val="0"/>
        <w:keepLines w:val="0"/>
        <w:pageBreakBefore w:val="0"/>
        <w:kinsoku/>
        <w:wordWrap/>
        <w:overflowPunct/>
        <w:topLinePunct w:val="0"/>
        <w:bidi w:val="0"/>
        <w:snapToGrid/>
        <w:spacing w:line="560" w:lineRule="exact"/>
        <w:ind w:firstLine="600" w:firstLineChars="200"/>
        <w:rPr>
          <w:rFonts w:hint="default" w:ascii="Times New Roman" w:hAnsi="Times New Roman" w:eastAsia="仿宋_GB2312" w:cs="Times New Roman"/>
          <w:color w:val="auto"/>
          <w:sz w:val="30"/>
          <w:szCs w:val="30"/>
          <w:highlight w:val="none"/>
          <w:lang w:eastAsia="zh-CN"/>
        </w:rPr>
      </w:pPr>
      <w:r>
        <w:rPr>
          <w:rFonts w:hint="default" w:ascii="Times New Roman" w:hAnsi="Times New Roman" w:eastAsia="仿宋_GB2312" w:cs="Times New Roman"/>
          <w:color w:val="auto"/>
          <w:sz w:val="30"/>
          <w:szCs w:val="30"/>
          <w:highlight w:val="none"/>
        </w:rPr>
        <w:t>报告期内，在监管部门的指导和当地政府的大力支持下，董事会切实履行《公司法》和本行《章程》所赋予的职责，认真贯彻落实</w:t>
      </w:r>
      <w:r>
        <w:rPr>
          <w:rFonts w:hint="default" w:ascii="Times New Roman" w:hAnsi="Times New Roman" w:eastAsia="仿宋_GB2312" w:cs="Times New Roman"/>
          <w:color w:val="auto"/>
          <w:sz w:val="30"/>
          <w:szCs w:val="30"/>
          <w:highlight w:val="none"/>
          <w:lang w:eastAsia="zh-CN"/>
        </w:rPr>
        <w:t>发起行</w:t>
      </w:r>
      <w:r>
        <w:rPr>
          <w:rFonts w:hint="default" w:ascii="Times New Roman" w:hAnsi="Times New Roman" w:eastAsia="仿宋_GB2312" w:cs="Times New Roman"/>
          <w:color w:val="auto"/>
          <w:sz w:val="30"/>
          <w:szCs w:val="30"/>
          <w:highlight w:val="none"/>
        </w:rPr>
        <w:t>各项决议，齐心协力，攻坚克难，</w:t>
      </w:r>
      <w:r>
        <w:rPr>
          <w:rFonts w:hint="default" w:ascii="Times New Roman" w:hAnsi="Times New Roman" w:eastAsia="仿宋_GB2312" w:cs="Times New Roman"/>
          <w:color w:val="auto"/>
          <w:sz w:val="30"/>
          <w:szCs w:val="30"/>
          <w:highlight w:val="none"/>
          <w:lang w:eastAsia="zh-CN"/>
        </w:rPr>
        <w:t>确保稳健经营发展</w:t>
      </w:r>
      <w:r>
        <w:rPr>
          <w:rFonts w:hint="default" w:ascii="Times New Roman" w:hAnsi="Times New Roman" w:eastAsia="仿宋_GB2312" w:cs="Times New Roman"/>
          <w:color w:val="auto"/>
          <w:sz w:val="30"/>
          <w:szCs w:val="30"/>
          <w:highlight w:val="none"/>
        </w:rPr>
        <w:t>。</w:t>
      </w:r>
      <w:r>
        <w:rPr>
          <w:rFonts w:hint="default" w:ascii="Times New Roman" w:hAnsi="Times New Roman" w:eastAsia="仿宋_GB2312" w:cs="Times New Roman"/>
          <w:color w:val="FF0000"/>
          <w:sz w:val="30"/>
          <w:szCs w:val="30"/>
          <w:highlight w:val="none"/>
          <w:lang w:val="zh-CN"/>
        </w:rPr>
        <w:t>我行资产总额</w:t>
      </w:r>
      <w:r>
        <w:rPr>
          <w:rFonts w:hint="default" w:ascii="Times New Roman" w:hAnsi="Times New Roman" w:eastAsia="仿宋_GB2312" w:cs="Times New Roman"/>
          <w:color w:val="FF0000"/>
          <w:sz w:val="30"/>
          <w:szCs w:val="30"/>
          <w:highlight w:val="none"/>
          <w:lang w:val="en-US" w:eastAsia="zh-CN"/>
        </w:rPr>
        <w:t>96435.94</w:t>
      </w:r>
      <w:r>
        <w:rPr>
          <w:rFonts w:hint="default" w:ascii="Times New Roman" w:hAnsi="Times New Roman" w:eastAsia="仿宋_GB2312" w:cs="Times New Roman"/>
          <w:color w:val="FF0000"/>
          <w:sz w:val="30"/>
          <w:szCs w:val="30"/>
          <w:highlight w:val="none"/>
          <w:lang w:val="zh-CN"/>
        </w:rPr>
        <w:t>万元，较年初增加</w:t>
      </w:r>
      <w:r>
        <w:rPr>
          <w:rFonts w:hint="default" w:ascii="Times New Roman" w:hAnsi="Times New Roman" w:eastAsia="仿宋_GB2312" w:cs="Times New Roman"/>
          <w:color w:val="FF0000"/>
          <w:sz w:val="30"/>
          <w:szCs w:val="30"/>
          <w:highlight w:val="none"/>
          <w:lang w:val="en-US" w:eastAsia="zh-CN"/>
        </w:rPr>
        <w:t>20082.83</w:t>
      </w:r>
      <w:r>
        <w:rPr>
          <w:rFonts w:hint="default" w:ascii="Times New Roman" w:hAnsi="Times New Roman" w:eastAsia="仿宋_GB2312" w:cs="Times New Roman"/>
          <w:color w:val="FF0000"/>
          <w:sz w:val="30"/>
          <w:szCs w:val="30"/>
          <w:highlight w:val="none"/>
          <w:lang w:val="zh-CN"/>
        </w:rPr>
        <w:t>万元，增幅</w:t>
      </w:r>
      <w:r>
        <w:rPr>
          <w:rFonts w:hint="default" w:ascii="Times New Roman" w:hAnsi="Times New Roman" w:eastAsia="仿宋_GB2312" w:cs="Times New Roman"/>
          <w:color w:val="FF0000"/>
          <w:sz w:val="30"/>
          <w:szCs w:val="30"/>
          <w:highlight w:val="none"/>
          <w:lang w:val="en-US" w:eastAsia="zh-CN"/>
        </w:rPr>
        <w:t>26.3</w:t>
      </w:r>
      <w:r>
        <w:rPr>
          <w:rFonts w:hint="default" w:ascii="Times New Roman" w:hAnsi="Times New Roman" w:eastAsia="仿宋_GB2312" w:cs="Times New Roman"/>
          <w:color w:val="FF0000"/>
          <w:sz w:val="30"/>
          <w:szCs w:val="30"/>
          <w:highlight w:val="none"/>
          <w:lang w:val="zh-CN"/>
        </w:rPr>
        <w:t>%。负债总额</w:t>
      </w:r>
      <w:r>
        <w:rPr>
          <w:rFonts w:hint="default" w:ascii="Times New Roman" w:hAnsi="Times New Roman" w:eastAsia="仿宋_GB2312" w:cs="Times New Roman"/>
          <w:color w:val="FF0000"/>
          <w:sz w:val="30"/>
          <w:szCs w:val="30"/>
          <w:highlight w:val="none"/>
          <w:lang w:val="en-US" w:eastAsia="zh-CN"/>
        </w:rPr>
        <w:t>83055.04</w:t>
      </w:r>
      <w:r>
        <w:rPr>
          <w:rFonts w:hint="default" w:ascii="Times New Roman" w:hAnsi="Times New Roman" w:eastAsia="仿宋_GB2312" w:cs="Times New Roman"/>
          <w:color w:val="FF0000"/>
          <w:sz w:val="30"/>
          <w:szCs w:val="30"/>
          <w:highlight w:val="none"/>
          <w:lang w:val="zh-CN"/>
        </w:rPr>
        <w:t>万元，较年初增加</w:t>
      </w:r>
      <w:r>
        <w:rPr>
          <w:rFonts w:hint="default" w:ascii="Times New Roman" w:hAnsi="Times New Roman" w:eastAsia="仿宋_GB2312" w:cs="Times New Roman"/>
          <w:color w:val="FF0000"/>
          <w:sz w:val="30"/>
          <w:szCs w:val="30"/>
          <w:highlight w:val="none"/>
          <w:lang w:val="en-US" w:eastAsia="zh-CN"/>
        </w:rPr>
        <w:t>20571.93</w:t>
      </w:r>
      <w:r>
        <w:rPr>
          <w:rFonts w:hint="default" w:ascii="Times New Roman" w:hAnsi="Times New Roman" w:eastAsia="仿宋_GB2312" w:cs="Times New Roman"/>
          <w:color w:val="FF0000"/>
          <w:sz w:val="30"/>
          <w:szCs w:val="30"/>
          <w:highlight w:val="none"/>
          <w:lang w:val="zh-CN"/>
        </w:rPr>
        <w:t>万元，增幅</w:t>
      </w:r>
      <w:r>
        <w:rPr>
          <w:rFonts w:hint="default" w:ascii="Times New Roman" w:hAnsi="Times New Roman" w:eastAsia="仿宋_GB2312" w:cs="Times New Roman"/>
          <w:color w:val="FF0000"/>
          <w:sz w:val="30"/>
          <w:szCs w:val="30"/>
          <w:highlight w:val="none"/>
          <w:lang w:val="en-US" w:eastAsia="zh-CN"/>
        </w:rPr>
        <w:t>32.92</w:t>
      </w:r>
      <w:r>
        <w:rPr>
          <w:rFonts w:hint="default" w:ascii="Times New Roman" w:hAnsi="Times New Roman" w:eastAsia="仿宋_GB2312" w:cs="Times New Roman"/>
          <w:color w:val="FF0000"/>
          <w:sz w:val="30"/>
          <w:szCs w:val="30"/>
          <w:highlight w:val="none"/>
          <w:lang w:val="zh-CN"/>
        </w:rPr>
        <w:t>%，其中：各项存款余额</w:t>
      </w:r>
      <w:r>
        <w:rPr>
          <w:rFonts w:hint="default" w:ascii="Times New Roman" w:hAnsi="Times New Roman" w:eastAsia="仿宋_GB2312" w:cs="Times New Roman"/>
          <w:color w:val="FF0000"/>
          <w:sz w:val="30"/>
          <w:szCs w:val="30"/>
          <w:highlight w:val="none"/>
          <w:lang w:val="en-US" w:eastAsia="zh-CN"/>
        </w:rPr>
        <w:t>80460.08</w:t>
      </w:r>
      <w:r>
        <w:rPr>
          <w:rFonts w:hint="default" w:ascii="Times New Roman" w:hAnsi="Times New Roman" w:eastAsia="仿宋_GB2312" w:cs="Times New Roman"/>
          <w:color w:val="FF0000"/>
          <w:sz w:val="30"/>
          <w:szCs w:val="30"/>
          <w:highlight w:val="none"/>
          <w:lang w:val="zh-CN"/>
        </w:rPr>
        <w:t>万元，较年初增加</w:t>
      </w:r>
      <w:r>
        <w:rPr>
          <w:rFonts w:hint="default" w:ascii="Times New Roman" w:hAnsi="Times New Roman" w:eastAsia="仿宋_GB2312" w:cs="Times New Roman"/>
          <w:color w:val="FF0000"/>
          <w:sz w:val="30"/>
          <w:szCs w:val="30"/>
          <w:highlight w:val="none"/>
          <w:lang w:val="en-US" w:eastAsia="zh-CN"/>
        </w:rPr>
        <w:t>19896.16</w:t>
      </w:r>
      <w:r>
        <w:rPr>
          <w:rFonts w:hint="default" w:ascii="Times New Roman" w:hAnsi="Times New Roman" w:eastAsia="仿宋_GB2312" w:cs="Times New Roman"/>
          <w:color w:val="FF0000"/>
          <w:sz w:val="30"/>
          <w:szCs w:val="30"/>
          <w:highlight w:val="none"/>
          <w:lang w:val="zh-CN"/>
        </w:rPr>
        <w:t>万元，增幅</w:t>
      </w:r>
      <w:r>
        <w:rPr>
          <w:rFonts w:hint="default" w:ascii="Times New Roman" w:hAnsi="Times New Roman" w:eastAsia="仿宋_GB2312" w:cs="Times New Roman"/>
          <w:color w:val="FF0000"/>
          <w:sz w:val="30"/>
          <w:szCs w:val="30"/>
          <w:highlight w:val="none"/>
          <w:lang w:val="en-US" w:eastAsia="zh-CN"/>
        </w:rPr>
        <w:t>32.85</w:t>
      </w:r>
      <w:r>
        <w:rPr>
          <w:rFonts w:hint="default" w:ascii="Times New Roman" w:hAnsi="Times New Roman" w:eastAsia="仿宋_GB2312" w:cs="Times New Roman"/>
          <w:color w:val="FF0000"/>
          <w:sz w:val="30"/>
          <w:szCs w:val="30"/>
          <w:highlight w:val="none"/>
          <w:lang w:val="zh-CN"/>
        </w:rPr>
        <w:t>%，存款年日均</w:t>
      </w:r>
      <w:r>
        <w:rPr>
          <w:rFonts w:hint="default" w:ascii="Times New Roman" w:hAnsi="Times New Roman" w:eastAsia="仿宋_GB2312" w:cs="Times New Roman"/>
          <w:color w:val="FF0000"/>
          <w:sz w:val="30"/>
          <w:szCs w:val="30"/>
          <w:highlight w:val="none"/>
          <w:lang w:val="en-US" w:eastAsia="zh-CN"/>
        </w:rPr>
        <w:t>74942</w:t>
      </w:r>
      <w:r>
        <w:rPr>
          <w:rFonts w:hint="default" w:ascii="Times New Roman" w:hAnsi="Times New Roman" w:eastAsia="仿宋_GB2312" w:cs="Times New Roman"/>
          <w:color w:val="FF0000"/>
          <w:sz w:val="30"/>
          <w:szCs w:val="30"/>
          <w:highlight w:val="none"/>
          <w:lang w:val="zh-CN"/>
        </w:rPr>
        <w:t>万元；各项贷款余额</w:t>
      </w:r>
      <w:r>
        <w:rPr>
          <w:rFonts w:hint="default" w:ascii="Times New Roman" w:hAnsi="Times New Roman" w:eastAsia="仿宋_GB2312" w:cs="Times New Roman"/>
          <w:color w:val="FF0000"/>
          <w:sz w:val="30"/>
          <w:szCs w:val="30"/>
          <w:highlight w:val="none"/>
          <w:lang w:val="en-US" w:eastAsia="zh-CN"/>
        </w:rPr>
        <w:t>60443.95</w:t>
      </w:r>
      <w:r>
        <w:rPr>
          <w:rFonts w:hint="default" w:ascii="Times New Roman" w:hAnsi="Times New Roman" w:eastAsia="仿宋_GB2312" w:cs="Times New Roman"/>
          <w:color w:val="FF0000"/>
          <w:sz w:val="30"/>
          <w:szCs w:val="30"/>
          <w:highlight w:val="none"/>
          <w:lang w:val="zh-CN"/>
        </w:rPr>
        <w:t>万元，较年初增加</w:t>
      </w:r>
      <w:r>
        <w:rPr>
          <w:rFonts w:hint="default" w:ascii="Times New Roman" w:hAnsi="Times New Roman" w:eastAsia="仿宋_GB2312" w:cs="Times New Roman"/>
          <w:color w:val="FF0000"/>
          <w:sz w:val="30"/>
          <w:szCs w:val="30"/>
          <w:highlight w:val="none"/>
          <w:lang w:val="en-US" w:eastAsia="zh-CN"/>
        </w:rPr>
        <w:t>8647.12</w:t>
      </w:r>
      <w:r>
        <w:rPr>
          <w:rFonts w:hint="default" w:ascii="Times New Roman" w:hAnsi="Times New Roman" w:eastAsia="仿宋_GB2312" w:cs="Times New Roman"/>
          <w:color w:val="FF0000"/>
          <w:sz w:val="30"/>
          <w:szCs w:val="30"/>
          <w:highlight w:val="none"/>
          <w:lang w:val="zh-CN"/>
        </w:rPr>
        <w:t>万元，增幅</w:t>
      </w:r>
      <w:r>
        <w:rPr>
          <w:rFonts w:hint="default" w:ascii="Times New Roman" w:hAnsi="Times New Roman" w:eastAsia="仿宋_GB2312" w:cs="Times New Roman"/>
          <w:color w:val="FF0000"/>
          <w:sz w:val="30"/>
          <w:szCs w:val="30"/>
          <w:highlight w:val="none"/>
          <w:lang w:val="en-US" w:eastAsia="zh-CN"/>
        </w:rPr>
        <w:t>16.69</w:t>
      </w:r>
      <w:r>
        <w:rPr>
          <w:rFonts w:hint="default" w:ascii="Times New Roman" w:hAnsi="Times New Roman" w:eastAsia="仿宋_GB2312" w:cs="Times New Roman"/>
          <w:color w:val="FF0000"/>
          <w:sz w:val="30"/>
          <w:szCs w:val="30"/>
          <w:highlight w:val="none"/>
          <w:lang w:val="zh-CN"/>
        </w:rPr>
        <w:t>%</w:t>
      </w:r>
      <w:r>
        <w:rPr>
          <w:rFonts w:hint="default" w:ascii="Times New Roman" w:hAnsi="Times New Roman" w:eastAsia="仿宋_GB2312" w:cs="Times New Roman"/>
          <w:color w:val="FF0000"/>
          <w:sz w:val="30"/>
          <w:szCs w:val="30"/>
          <w:highlight w:val="none"/>
        </w:rPr>
        <w:t>；全年没有发生经济案件和“三防一保”案件。</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11</w:t>
      </w:r>
      <w:r>
        <w:rPr>
          <w:rFonts w:hint="default" w:ascii="Times New Roman" w:hAnsi="Times New Roman" w:eastAsia="仿宋_GB2312" w:cs="Times New Roman"/>
          <w:b/>
          <w:bCs/>
          <w:color w:val="auto"/>
          <w:sz w:val="30"/>
          <w:szCs w:val="30"/>
          <w:highlight w:val="none"/>
          <w:lang w:eastAsia="zh-CN"/>
        </w:rPr>
        <w:t>、</w:t>
      </w:r>
      <w:r>
        <w:rPr>
          <w:rFonts w:hint="default" w:ascii="Times New Roman" w:hAnsi="Times New Roman" w:eastAsia="仿宋_GB2312" w:cs="Times New Roman"/>
          <w:b/>
          <w:bCs/>
          <w:color w:val="auto"/>
          <w:sz w:val="30"/>
          <w:szCs w:val="30"/>
          <w:highlight w:val="none"/>
        </w:rPr>
        <w:t>监事会报告</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监事会认为：报告期内，公司依法经营，公司财务情况、关联交易等均不存在问题。未发现公司董事、高级管理层成员执行公司职务时有违反法律法规、《公司章程》或损害公司及股东利益的行为。</w:t>
      </w:r>
    </w:p>
    <w:p>
      <w:pPr>
        <w:keepNext w:val="0"/>
        <w:keepLines w:val="0"/>
        <w:pageBreakBefore w:val="0"/>
        <w:kinsoku/>
        <w:wordWrap/>
        <w:overflowPunct/>
        <w:topLinePunct w:val="0"/>
        <w:bidi w:val="0"/>
        <w:snapToGrid/>
        <w:spacing w:line="560" w:lineRule="exact"/>
        <w:ind w:left="479" w:leftChars="228" w:firstLine="0" w:firstLineChars="0"/>
        <w:jc w:val="both"/>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b/>
          <w:bCs/>
          <w:color w:val="auto"/>
          <w:sz w:val="30"/>
          <w:szCs w:val="30"/>
          <w:highlight w:val="none"/>
        </w:rPr>
        <w:t>12</w:t>
      </w:r>
      <w:r>
        <w:rPr>
          <w:rFonts w:hint="default" w:ascii="Times New Roman" w:hAnsi="Times New Roman" w:eastAsia="仿宋_GB2312" w:cs="Times New Roman"/>
          <w:b/>
          <w:bCs/>
          <w:color w:val="auto"/>
          <w:sz w:val="30"/>
          <w:szCs w:val="30"/>
          <w:highlight w:val="none"/>
          <w:lang w:eastAsia="zh-CN"/>
        </w:rPr>
        <w:t>、</w:t>
      </w:r>
      <w:r>
        <w:rPr>
          <w:rFonts w:hint="default" w:ascii="Times New Roman" w:hAnsi="Times New Roman" w:eastAsia="仿宋_GB2312" w:cs="Times New Roman"/>
          <w:b/>
          <w:bCs/>
          <w:color w:val="auto"/>
          <w:sz w:val="30"/>
          <w:szCs w:val="30"/>
          <w:highlight w:val="none"/>
        </w:rPr>
        <w:t>其它重要事项</w:t>
      </w:r>
      <w:r>
        <w:rPr>
          <w:rFonts w:hint="default" w:ascii="Times New Roman" w:hAnsi="Times New Roman" w:eastAsia="仿宋_GB2312" w:cs="Times New Roman"/>
          <w:color w:val="auto"/>
          <w:sz w:val="30"/>
          <w:szCs w:val="30"/>
          <w:highlight w:val="none"/>
        </w:rPr>
        <w:br w:type="textWrapping"/>
      </w:r>
      <w:r>
        <w:rPr>
          <w:rFonts w:hint="default" w:ascii="Times New Roman" w:hAnsi="Times New Roman" w:eastAsia="仿宋_GB2312" w:cs="Times New Roman"/>
          <w:b/>
          <w:color w:val="auto"/>
          <w:sz w:val="30"/>
          <w:szCs w:val="30"/>
          <w:highlight w:val="none"/>
        </w:rPr>
        <w:t>12.1重大诉讼仲裁事项</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本公司报告期内有</w:t>
      </w:r>
      <w:r>
        <w:rPr>
          <w:rFonts w:hint="default" w:ascii="Times New Roman" w:hAnsi="Times New Roman" w:eastAsia="仿宋_GB2312" w:cs="Times New Roman"/>
          <w:sz w:val="30"/>
          <w:szCs w:val="30"/>
          <w:highlight w:val="none"/>
          <w:lang w:val="en-US" w:eastAsia="zh-CN"/>
        </w:rPr>
        <w:t>0</w:t>
      </w:r>
      <w:r>
        <w:rPr>
          <w:rFonts w:hint="default" w:ascii="Times New Roman" w:hAnsi="Times New Roman" w:eastAsia="仿宋_GB2312" w:cs="Times New Roman"/>
          <w:sz w:val="30"/>
          <w:szCs w:val="30"/>
          <w:highlight w:val="none"/>
        </w:rPr>
        <w:t>起劳动争议诉讼仲裁事项</w:t>
      </w:r>
      <w:r>
        <w:rPr>
          <w:rFonts w:hint="default" w:ascii="Times New Roman" w:hAnsi="Times New Roman" w:eastAsia="仿宋_GB2312" w:cs="Times New Roman"/>
          <w:sz w:val="30"/>
          <w:szCs w:val="30"/>
          <w:highlight w:val="none"/>
          <w:lang w:eastAsia="zh-CN"/>
        </w:rPr>
        <w:t>。</w:t>
      </w:r>
    </w:p>
    <w:p>
      <w:pPr>
        <w:keepNext w:val="0"/>
        <w:keepLines w:val="0"/>
        <w:pageBreakBefore w:val="0"/>
        <w:kinsoku/>
        <w:wordWrap/>
        <w:overflowPunct/>
        <w:topLinePunct w:val="0"/>
        <w:bidi w:val="0"/>
        <w:snapToGrid/>
        <w:spacing w:line="560" w:lineRule="exact"/>
        <w:ind w:left="420" w:leftChars="200" w:firstLine="12" w:firstLineChars="4"/>
        <w:jc w:val="both"/>
        <w:rPr>
          <w:rFonts w:hint="default" w:ascii="Times New Roman" w:hAnsi="Times New Roman" w:eastAsia="仿宋_GB2312" w:cs="Times New Roman"/>
          <w:b/>
          <w:sz w:val="30"/>
          <w:szCs w:val="30"/>
          <w:highlight w:val="none"/>
          <w:lang w:val="en-US" w:eastAsia="zh-CN"/>
        </w:rPr>
      </w:pPr>
      <w:r>
        <w:rPr>
          <w:rFonts w:hint="default" w:ascii="Times New Roman" w:hAnsi="Times New Roman" w:eastAsia="仿宋_GB2312" w:cs="Times New Roman"/>
          <w:b/>
          <w:sz w:val="30"/>
          <w:szCs w:val="30"/>
          <w:highlight w:val="none"/>
          <w:lang w:val="en-US" w:eastAsia="zh-CN"/>
        </w:rPr>
        <w:t>12.2 其他投诉</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sz w:val="30"/>
          <w:szCs w:val="30"/>
          <w:highlight w:val="none"/>
          <w:lang w:val="en-US" w:eastAsia="zh-CN"/>
        </w:rPr>
      </w:pPr>
      <w:r>
        <w:rPr>
          <w:rFonts w:hint="default" w:ascii="Times New Roman" w:hAnsi="Times New Roman" w:eastAsia="仿宋_GB2312" w:cs="Times New Roman"/>
          <w:color w:val="auto"/>
          <w:sz w:val="30"/>
          <w:szCs w:val="30"/>
          <w:highlight w:val="none"/>
        </w:rPr>
        <w:t>本年度，我行共受理金融消费者投诉</w:t>
      </w:r>
      <w:r>
        <w:rPr>
          <w:rFonts w:hint="default" w:ascii="Times New Roman" w:hAnsi="Times New Roman" w:eastAsia="仿宋_GB2312" w:cs="Times New Roman"/>
          <w:color w:val="auto"/>
          <w:sz w:val="30"/>
          <w:szCs w:val="30"/>
          <w:highlight w:val="none"/>
          <w:lang w:val="en-US" w:eastAsia="zh-CN"/>
        </w:rPr>
        <w:t>0</w:t>
      </w:r>
      <w:r>
        <w:rPr>
          <w:rFonts w:hint="default" w:ascii="Times New Roman" w:hAnsi="Times New Roman" w:eastAsia="仿宋_GB2312" w:cs="Times New Roman"/>
          <w:color w:val="auto"/>
          <w:sz w:val="30"/>
          <w:szCs w:val="30"/>
          <w:highlight w:val="none"/>
        </w:rPr>
        <w:t>起；接受客户电话咨询</w:t>
      </w:r>
      <w:r>
        <w:rPr>
          <w:rFonts w:hint="eastAsia" w:eastAsia="仿宋_GB2312" w:cs="Times New Roman"/>
          <w:color w:val="auto"/>
          <w:sz w:val="30"/>
          <w:szCs w:val="30"/>
          <w:highlight w:val="none"/>
          <w:lang w:val="en-US" w:eastAsia="zh-CN"/>
        </w:rPr>
        <w:t>76</w:t>
      </w:r>
      <w:r>
        <w:rPr>
          <w:rFonts w:hint="default" w:ascii="Times New Roman" w:hAnsi="Times New Roman" w:eastAsia="仿宋_GB2312" w:cs="Times New Roman"/>
          <w:color w:val="auto"/>
          <w:sz w:val="30"/>
          <w:szCs w:val="30"/>
          <w:highlight w:val="none"/>
        </w:rPr>
        <w:t>余次、营业网点意见簿客户建议0条，主要围绕我行开展支付结算、账户开立、存（贷）款业务咨询、优质文明服务建议等方面。</w:t>
      </w:r>
    </w:p>
    <w:p>
      <w:pPr>
        <w:keepNext w:val="0"/>
        <w:keepLines w:val="0"/>
        <w:pageBreakBefore w:val="0"/>
        <w:kinsoku/>
        <w:wordWrap/>
        <w:overflowPunct/>
        <w:topLinePunct w:val="0"/>
        <w:bidi w:val="0"/>
        <w:snapToGrid/>
        <w:spacing w:line="560" w:lineRule="exact"/>
        <w:jc w:val="both"/>
        <w:rPr>
          <w:rFonts w:hint="default" w:ascii="Times New Roman" w:hAnsi="Times New Roman" w:eastAsia="仿宋_GB2312" w:cs="Times New Roman"/>
          <w:b/>
          <w:color w:val="auto"/>
          <w:sz w:val="30"/>
          <w:szCs w:val="30"/>
          <w:highlight w:val="none"/>
        </w:rPr>
      </w:pPr>
      <w:r>
        <w:rPr>
          <w:rFonts w:hint="default" w:ascii="Times New Roman" w:hAnsi="Times New Roman" w:eastAsia="仿宋_GB2312" w:cs="Times New Roman"/>
          <w:b/>
          <w:color w:val="auto"/>
          <w:sz w:val="30"/>
          <w:szCs w:val="30"/>
          <w:highlight w:val="none"/>
        </w:rPr>
        <w:t xml:space="preserve">    12.</w:t>
      </w:r>
      <w:r>
        <w:rPr>
          <w:rFonts w:hint="default" w:ascii="Times New Roman" w:hAnsi="Times New Roman" w:eastAsia="仿宋_GB2312" w:cs="Times New Roman"/>
          <w:b/>
          <w:color w:val="auto"/>
          <w:sz w:val="30"/>
          <w:szCs w:val="30"/>
          <w:highlight w:val="none"/>
          <w:lang w:val="en-US" w:eastAsia="zh-CN"/>
        </w:rPr>
        <w:t>3</w:t>
      </w:r>
      <w:r>
        <w:rPr>
          <w:rFonts w:hint="default" w:ascii="Times New Roman" w:hAnsi="Times New Roman" w:eastAsia="仿宋_GB2312" w:cs="Times New Roman"/>
          <w:b/>
          <w:color w:val="auto"/>
          <w:sz w:val="30"/>
          <w:szCs w:val="30"/>
          <w:highlight w:val="none"/>
        </w:rPr>
        <w:t>重大托管、担保、承诺、委托资产管理事项</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sz w:val="30"/>
          <w:szCs w:val="30"/>
          <w:highlight w:val="none"/>
        </w:rPr>
        <w:t>本公司报告期内无重大托管、担保、承诺、委托资产管理事项。</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kern w:val="0"/>
          <w:sz w:val="30"/>
          <w:szCs w:val="30"/>
          <w:highlight w:val="none"/>
        </w:rPr>
      </w:pPr>
      <w:r>
        <w:rPr>
          <w:rFonts w:hint="default" w:ascii="Times New Roman" w:hAnsi="Times New Roman" w:eastAsia="仿宋_GB2312" w:cs="Times New Roman"/>
          <w:b/>
          <w:sz w:val="30"/>
          <w:szCs w:val="30"/>
          <w:highlight w:val="none"/>
        </w:rPr>
        <w:t>12.</w:t>
      </w:r>
      <w:r>
        <w:rPr>
          <w:rFonts w:hint="default" w:ascii="Times New Roman" w:hAnsi="Times New Roman" w:eastAsia="仿宋_GB2312" w:cs="Times New Roman"/>
          <w:b/>
          <w:sz w:val="30"/>
          <w:szCs w:val="30"/>
          <w:highlight w:val="none"/>
          <w:lang w:val="en-US" w:eastAsia="zh-CN"/>
        </w:rPr>
        <w:t>4</w:t>
      </w:r>
      <w:r>
        <w:rPr>
          <w:rFonts w:hint="default" w:ascii="Times New Roman" w:hAnsi="Times New Roman" w:eastAsia="仿宋_GB2312" w:cs="Times New Roman"/>
          <w:b/>
          <w:sz w:val="30"/>
          <w:szCs w:val="30"/>
          <w:highlight w:val="none"/>
        </w:rPr>
        <w:t>关联交易情况</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color w:val="auto"/>
          <w:kern w:val="0"/>
          <w:sz w:val="30"/>
          <w:szCs w:val="30"/>
          <w:highlight w:val="none"/>
        </w:rPr>
      </w:pPr>
      <w:r>
        <w:rPr>
          <w:rFonts w:hint="default" w:ascii="Times New Roman" w:hAnsi="Times New Roman" w:eastAsia="仿宋_GB2312" w:cs="Times New Roman"/>
          <w:sz w:val="30"/>
          <w:szCs w:val="30"/>
          <w:highlight w:val="none"/>
        </w:rPr>
        <w:t>本公司在处理关联交易时，遵循诚实信用和公允的商业原则，严格按照有关法律法规和公司制定的相关规章制度，以不优于非关联方同类型交易的条件进行操作。</w:t>
      </w:r>
      <w:r>
        <w:rPr>
          <w:rFonts w:hint="default" w:ascii="Times New Roman" w:hAnsi="Times New Roman" w:eastAsia="仿宋_GB2312" w:cs="Times New Roman"/>
          <w:kern w:val="0"/>
          <w:sz w:val="30"/>
          <w:szCs w:val="30"/>
          <w:highlight w:val="none"/>
        </w:rPr>
        <w:t>报告期内无向持有本行5%及5%以上股份的股东收取的贷款利息收入的事项；无对董事、关键管理人员的贷款。</w:t>
      </w:r>
    </w:p>
    <w:p>
      <w:pPr>
        <w:keepNext w:val="0"/>
        <w:keepLines w:val="0"/>
        <w:pageBreakBefore w:val="0"/>
        <w:kinsoku/>
        <w:wordWrap/>
        <w:overflowPunct/>
        <w:topLinePunct w:val="0"/>
        <w:bidi w:val="0"/>
        <w:snapToGrid/>
        <w:spacing w:line="560" w:lineRule="exact"/>
        <w:ind w:firstLine="600" w:firstLineChars="200"/>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color w:val="auto"/>
          <w:kern w:val="0"/>
          <w:sz w:val="30"/>
          <w:szCs w:val="30"/>
          <w:highlight w:val="none"/>
          <w:lang w:val="en-US" w:eastAsia="zh-CN"/>
        </w:rPr>
        <w:t>报告期内上报关联交易</w:t>
      </w:r>
      <w:r>
        <w:rPr>
          <w:rFonts w:hint="eastAsia" w:eastAsia="仿宋_GB2312" w:cs="Times New Roman"/>
          <w:color w:val="auto"/>
          <w:kern w:val="0"/>
          <w:sz w:val="30"/>
          <w:szCs w:val="30"/>
          <w:highlight w:val="none"/>
          <w:lang w:val="en-US" w:eastAsia="zh-CN"/>
        </w:rPr>
        <w:t>2</w:t>
      </w:r>
      <w:r>
        <w:rPr>
          <w:rFonts w:hint="default" w:ascii="Times New Roman" w:hAnsi="Times New Roman" w:eastAsia="仿宋_GB2312" w:cs="Times New Roman"/>
          <w:color w:val="auto"/>
          <w:kern w:val="0"/>
          <w:sz w:val="30"/>
          <w:szCs w:val="30"/>
          <w:highlight w:val="none"/>
          <w:lang w:val="en-US" w:eastAsia="zh-CN"/>
        </w:rPr>
        <w:t>笔，为我行存放主发起行浙江稠州商业银行股份有限公司同业存款合计</w:t>
      </w:r>
      <w:r>
        <w:rPr>
          <w:rFonts w:hint="eastAsia" w:eastAsia="仿宋_GB2312" w:cs="Times New Roman"/>
          <w:color w:val="auto"/>
          <w:kern w:val="0"/>
          <w:sz w:val="30"/>
          <w:szCs w:val="30"/>
          <w:highlight w:val="none"/>
          <w:lang w:val="en-US" w:eastAsia="zh-CN"/>
        </w:rPr>
        <w:t>2</w:t>
      </w:r>
      <w:r>
        <w:rPr>
          <w:rFonts w:hint="default" w:ascii="Times New Roman" w:hAnsi="Times New Roman" w:eastAsia="仿宋_GB2312" w:cs="Times New Roman"/>
          <w:color w:val="auto"/>
          <w:kern w:val="0"/>
          <w:sz w:val="30"/>
          <w:szCs w:val="30"/>
          <w:highlight w:val="none"/>
          <w:lang w:val="en-US" w:eastAsia="zh-CN"/>
        </w:rPr>
        <w:t>笔，金额</w:t>
      </w:r>
      <w:r>
        <w:rPr>
          <w:rFonts w:hint="eastAsia" w:eastAsia="仿宋_GB2312" w:cs="Times New Roman"/>
          <w:color w:val="auto"/>
          <w:kern w:val="0"/>
          <w:sz w:val="30"/>
          <w:szCs w:val="30"/>
          <w:highlight w:val="none"/>
          <w:lang w:val="en-US" w:eastAsia="zh-CN"/>
        </w:rPr>
        <w:t>2500</w:t>
      </w:r>
      <w:r>
        <w:rPr>
          <w:rFonts w:hint="default" w:ascii="Times New Roman" w:hAnsi="Times New Roman" w:eastAsia="仿宋_GB2312" w:cs="Times New Roman"/>
          <w:color w:val="auto"/>
          <w:kern w:val="0"/>
          <w:sz w:val="30"/>
          <w:szCs w:val="30"/>
          <w:highlight w:val="none"/>
          <w:lang w:val="en-US" w:eastAsia="zh-CN"/>
        </w:rPr>
        <w:t>万元。</w:t>
      </w:r>
      <w:r>
        <w:rPr>
          <w:rFonts w:hint="default" w:ascii="Times New Roman" w:hAnsi="Times New Roman" w:eastAsia="仿宋_GB2312" w:cs="Times New Roman"/>
          <w:b/>
          <w:color w:val="auto"/>
          <w:sz w:val="30"/>
          <w:szCs w:val="30"/>
          <w:highlight w:val="none"/>
        </w:rPr>
        <w:t xml:space="preserve">  </w:t>
      </w:r>
      <w:r>
        <w:rPr>
          <w:rFonts w:hint="default" w:ascii="Times New Roman" w:hAnsi="Times New Roman" w:eastAsia="仿宋_GB2312" w:cs="Times New Roman"/>
          <w:b/>
          <w:sz w:val="30"/>
          <w:szCs w:val="30"/>
          <w:highlight w:val="none"/>
        </w:rPr>
        <w:t xml:space="preserve">  </w:t>
      </w:r>
    </w:p>
    <w:p>
      <w:pPr>
        <w:keepNext w:val="0"/>
        <w:keepLines w:val="0"/>
        <w:pageBreakBefore w:val="0"/>
        <w:kinsoku/>
        <w:wordWrap/>
        <w:overflowPunct/>
        <w:topLinePunct w:val="0"/>
        <w:bidi w:val="0"/>
        <w:snapToGrid/>
        <w:spacing w:line="560" w:lineRule="exact"/>
        <w:ind w:firstLine="602" w:firstLineChars="200"/>
        <w:jc w:val="both"/>
        <w:rPr>
          <w:rFonts w:hint="default" w:ascii="Times New Roman" w:hAnsi="Times New Roman" w:eastAsia="仿宋_GB2312" w:cs="Times New Roman"/>
          <w:b/>
          <w:sz w:val="30"/>
          <w:szCs w:val="30"/>
          <w:highlight w:val="none"/>
        </w:rPr>
      </w:pPr>
      <w:r>
        <w:rPr>
          <w:rFonts w:hint="default" w:ascii="Times New Roman" w:hAnsi="Times New Roman" w:eastAsia="仿宋_GB2312" w:cs="Times New Roman"/>
          <w:b/>
          <w:sz w:val="30"/>
          <w:szCs w:val="30"/>
          <w:highlight w:val="none"/>
        </w:rPr>
        <w:t>12.</w:t>
      </w:r>
      <w:r>
        <w:rPr>
          <w:rFonts w:hint="default" w:ascii="Times New Roman" w:hAnsi="Times New Roman" w:eastAsia="仿宋_GB2312" w:cs="Times New Roman"/>
          <w:b/>
          <w:sz w:val="30"/>
          <w:szCs w:val="30"/>
          <w:highlight w:val="none"/>
          <w:lang w:val="en-US" w:eastAsia="zh-CN"/>
        </w:rPr>
        <w:t>5</w:t>
      </w:r>
      <w:r>
        <w:rPr>
          <w:rFonts w:hint="eastAsia" w:eastAsia="仿宋_GB2312" w:cs="Times New Roman"/>
          <w:b/>
          <w:sz w:val="30"/>
          <w:szCs w:val="30"/>
          <w:highlight w:val="none"/>
          <w:lang w:val="en-US" w:eastAsia="zh-CN"/>
        </w:rPr>
        <w:t>公司</w:t>
      </w:r>
      <w:r>
        <w:rPr>
          <w:rFonts w:hint="default" w:ascii="Times New Roman" w:hAnsi="Times New Roman" w:eastAsia="仿宋_GB2312" w:cs="Times New Roman"/>
          <w:b/>
          <w:sz w:val="30"/>
          <w:szCs w:val="30"/>
          <w:highlight w:val="none"/>
        </w:rPr>
        <w:t>董事、监事及高级管理人员接受处罚情况</w:t>
      </w:r>
    </w:p>
    <w:tbl>
      <w:tblPr>
        <w:tblStyle w:val="4"/>
        <w:tblW w:w="8355" w:type="dxa"/>
        <w:tblInd w:w="0" w:type="dxa"/>
        <w:tblLayout w:type="fixed"/>
        <w:tblCellMar>
          <w:top w:w="0" w:type="dxa"/>
          <w:left w:w="0" w:type="dxa"/>
          <w:bottom w:w="0" w:type="dxa"/>
          <w:right w:w="0" w:type="dxa"/>
        </w:tblCellMar>
      </w:tblPr>
      <w:tblGrid>
        <w:gridCol w:w="555"/>
        <w:gridCol w:w="886"/>
        <w:gridCol w:w="1550"/>
        <w:gridCol w:w="1400"/>
        <w:gridCol w:w="1583"/>
        <w:gridCol w:w="767"/>
        <w:gridCol w:w="933"/>
        <w:gridCol w:w="681"/>
      </w:tblGrid>
      <w:tr>
        <w:tblPrEx>
          <w:tblCellMar>
            <w:top w:w="0" w:type="dxa"/>
            <w:left w:w="0" w:type="dxa"/>
            <w:bottom w:w="0" w:type="dxa"/>
            <w:right w:w="0" w:type="dxa"/>
          </w:tblCellMar>
        </w:tblPrEx>
        <w:trPr>
          <w:trHeight w:val="300"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序号</w:t>
            </w:r>
          </w:p>
        </w:tc>
        <w:tc>
          <w:tcPr>
            <w:tcW w:w="88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w:t>
            </w:r>
            <w:r>
              <w:rPr>
                <w:rFonts w:hint="default" w:ascii="Times New Roman" w:hAnsi="Times New Roman" w:eastAsia="仿宋_GB2312" w:cs="Times New Roman"/>
                <w:color w:val="000000"/>
                <w:kern w:val="0"/>
                <w:sz w:val="24"/>
                <w:szCs w:val="24"/>
                <w:highlight w:val="none"/>
                <w:lang w:bidi="ar"/>
              </w:rPr>
              <w:br w:type="textWrapping"/>
            </w:r>
            <w:r>
              <w:rPr>
                <w:rFonts w:hint="default" w:ascii="Times New Roman" w:hAnsi="Times New Roman" w:eastAsia="仿宋_GB2312" w:cs="Times New Roman"/>
                <w:color w:val="000000"/>
                <w:kern w:val="0"/>
                <w:sz w:val="24"/>
                <w:szCs w:val="24"/>
                <w:highlight w:val="none"/>
                <w:lang w:bidi="ar"/>
              </w:rPr>
              <w:t>对象</w:t>
            </w:r>
          </w:p>
        </w:tc>
        <w:tc>
          <w:tcPr>
            <w:tcW w:w="15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处罚事由</w:t>
            </w:r>
          </w:p>
        </w:tc>
        <w:tc>
          <w:tcPr>
            <w:tcW w:w="14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处罚单位</w:t>
            </w:r>
          </w:p>
        </w:tc>
        <w:tc>
          <w:tcPr>
            <w:tcW w:w="158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处罚决定书</w:t>
            </w:r>
            <w:r>
              <w:rPr>
                <w:rFonts w:hint="default" w:ascii="Times New Roman" w:hAnsi="Times New Roman" w:eastAsia="仿宋_GB2312" w:cs="Times New Roman"/>
                <w:color w:val="000000"/>
                <w:kern w:val="0"/>
                <w:sz w:val="24"/>
                <w:szCs w:val="24"/>
                <w:highlight w:val="none"/>
                <w:lang w:bidi="ar"/>
              </w:rPr>
              <w:br w:type="textWrapping"/>
            </w:r>
            <w:r>
              <w:rPr>
                <w:rFonts w:hint="default" w:ascii="Times New Roman" w:hAnsi="Times New Roman" w:eastAsia="仿宋_GB2312" w:cs="Times New Roman"/>
                <w:color w:val="000000"/>
                <w:kern w:val="0"/>
                <w:sz w:val="24"/>
                <w:szCs w:val="24"/>
                <w:highlight w:val="none"/>
                <w:lang w:bidi="ar"/>
              </w:rPr>
              <w:t>文号</w:t>
            </w:r>
          </w:p>
        </w:tc>
        <w:tc>
          <w:tcPr>
            <w:tcW w:w="76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w:t>
            </w:r>
            <w:r>
              <w:rPr>
                <w:rFonts w:hint="default" w:ascii="Times New Roman" w:hAnsi="Times New Roman" w:eastAsia="仿宋_GB2312" w:cs="Times New Roman"/>
                <w:color w:val="000000"/>
                <w:kern w:val="0"/>
                <w:sz w:val="24"/>
                <w:szCs w:val="24"/>
                <w:highlight w:val="none"/>
                <w:lang w:bidi="ar"/>
              </w:rPr>
              <w:br w:type="textWrapping"/>
            </w:r>
            <w:r>
              <w:rPr>
                <w:rFonts w:hint="default" w:ascii="Times New Roman" w:hAnsi="Times New Roman" w:eastAsia="仿宋_GB2312" w:cs="Times New Roman"/>
                <w:color w:val="000000"/>
                <w:kern w:val="0"/>
                <w:sz w:val="24"/>
                <w:szCs w:val="24"/>
                <w:highlight w:val="none"/>
                <w:lang w:bidi="ar"/>
              </w:rPr>
              <w:t>时间</w:t>
            </w:r>
          </w:p>
        </w:tc>
        <w:tc>
          <w:tcPr>
            <w:tcW w:w="161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rPr>
            </w:pPr>
          </w:p>
        </w:tc>
      </w:tr>
      <w:tr>
        <w:tblPrEx>
          <w:tblCellMar>
            <w:top w:w="0" w:type="dxa"/>
            <w:left w:w="0" w:type="dxa"/>
            <w:bottom w:w="0" w:type="dxa"/>
            <w:right w:w="0" w:type="dxa"/>
          </w:tblCellMar>
        </w:tblPrEx>
        <w:trPr>
          <w:trHeight w:val="57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rPr>
            </w:pPr>
          </w:p>
        </w:tc>
        <w:tc>
          <w:tcPr>
            <w:tcW w:w="88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rPr>
            </w:pPr>
          </w:p>
        </w:tc>
        <w:tc>
          <w:tcPr>
            <w:tcW w:w="15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rPr>
            </w:pPr>
          </w:p>
        </w:tc>
        <w:tc>
          <w:tcPr>
            <w:tcW w:w="14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rPr>
            </w:pPr>
          </w:p>
        </w:tc>
        <w:tc>
          <w:tcPr>
            <w:tcW w:w="158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rPr>
            </w:pPr>
          </w:p>
        </w:tc>
        <w:tc>
          <w:tcPr>
            <w:tcW w:w="76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rPr>
            </w:pP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罚款金额（万元）</w:t>
            </w:r>
          </w:p>
        </w:tc>
        <w:tc>
          <w:tcPr>
            <w:tcW w:w="68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kern w:val="0"/>
                <w:sz w:val="24"/>
                <w:szCs w:val="24"/>
                <w:highlight w:val="none"/>
                <w:lang w:bidi="ar"/>
              </w:rPr>
            </w:pPr>
            <w:r>
              <w:rPr>
                <w:rFonts w:hint="default" w:ascii="Times New Roman" w:hAnsi="Times New Roman" w:eastAsia="仿宋_GB2312" w:cs="Times New Roman"/>
                <w:color w:val="000000"/>
                <w:kern w:val="0"/>
                <w:sz w:val="24"/>
                <w:szCs w:val="24"/>
                <w:highlight w:val="none"/>
                <w:lang w:bidi="ar"/>
              </w:rPr>
              <w:t>其他</w:t>
            </w:r>
          </w:p>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bidi="ar"/>
              </w:rPr>
              <w:t>处罚</w:t>
            </w:r>
          </w:p>
        </w:tc>
      </w:tr>
      <w:tr>
        <w:tblPrEx>
          <w:tblCellMar>
            <w:top w:w="0" w:type="dxa"/>
            <w:left w:w="0" w:type="dxa"/>
            <w:bottom w:w="0" w:type="dxa"/>
            <w:right w:w="0" w:type="dxa"/>
          </w:tblCellMar>
        </w:tblPrEx>
        <w:trPr>
          <w:trHeight w:val="510" w:hRule="atLeast"/>
        </w:trPr>
        <w:tc>
          <w:tcPr>
            <w:tcW w:w="5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imes New Roman" w:hAnsi="Times New Roman" w:eastAsia="仿宋_GB2312" w:cs="Times New Roman"/>
                <w:color w:val="000000"/>
                <w:sz w:val="24"/>
                <w:szCs w:val="24"/>
                <w:highlight w:val="none"/>
                <w:lang w:val="en-US" w:eastAsia="zh-CN"/>
              </w:rPr>
            </w:pPr>
          </w:p>
        </w:tc>
        <w:tc>
          <w:tcPr>
            <w:tcW w:w="88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eastAsia="zh-CN" w:bidi="ar"/>
              </w:rPr>
              <w:t>无</w:t>
            </w:r>
          </w:p>
        </w:tc>
        <w:tc>
          <w:tcPr>
            <w:tcW w:w="15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eastAsia="zh-CN" w:bidi="ar"/>
              </w:rPr>
              <w:t>无</w:t>
            </w:r>
          </w:p>
        </w:tc>
        <w:tc>
          <w:tcPr>
            <w:tcW w:w="140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eastAsia="zh-CN" w:bidi="ar"/>
              </w:rPr>
              <w:t>无</w:t>
            </w:r>
          </w:p>
        </w:tc>
        <w:tc>
          <w:tcPr>
            <w:tcW w:w="158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FF0000"/>
                <w:sz w:val="24"/>
                <w:szCs w:val="24"/>
                <w:highlight w:val="none"/>
              </w:rPr>
            </w:pPr>
            <w:r>
              <w:rPr>
                <w:rFonts w:hint="default" w:ascii="Times New Roman" w:hAnsi="Times New Roman" w:eastAsia="仿宋_GB2312" w:cs="Times New Roman"/>
                <w:color w:val="000000"/>
                <w:kern w:val="0"/>
                <w:sz w:val="24"/>
                <w:szCs w:val="24"/>
                <w:highlight w:val="none"/>
                <w:lang w:eastAsia="zh-CN" w:bidi="ar"/>
              </w:rPr>
              <w:t>无</w:t>
            </w:r>
          </w:p>
        </w:tc>
        <w:tc>
          <w:tcPr>
            <w:tcW w:w="76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FF000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eastAsia="zh-CN" w:bidi="ar"/>
              </w:rPr>
              <w:t>无</w:t>
            </w:r>
          </w:p>
        </w:tc>
        <w:tc>
          <w:tcPr>
            <w:tcW w:w="93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kern w:val="0"/>
                <w:sz w:val="24"/>
                <w:szCs w:val="24"/>
                <w:highlight w:val="none"/>
                <w:lang w:eastAsia="zh-CN" w:bidi="ar"/>
              </w:rPr>
              <w:t>无</w:t>
            </w:r>
          </w:p>
        </w:tc>
        <w:tc>
          <w:tcPr>
            <w:tcW w:w="68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kern w:val="0"/>
                <w:sz w:val="24"/>
                <w:szCs w:val="24"/>
                <w:highlight w:val="none"/>
                <w:lang w:eastAsia="zh-CN" w:bidi="ar"/>
              </w:rPr>
              <w:t>无</w:t>
            </w:r>
          </w:p>
        </w:tc>
      </w:tr>
      <w:tr>
        <w:tblPrEx>
          <w:tblCellMar>
            <w:top w:w="0" w:type="dxa"/>
            <w:left w:w="0" w:type="dxa"/>
            <w:bottom w:w="0" w:type="dxa"/>
            <w:right w:w="0" w:type="dxa"/>
          </w:tblCellMar>
        </w:tblPrEx>
        <w:trPr>
          <w:trHeight w:val="510" w:hRule="atLeast"/>
        </w:trPr>
        <w:tc>
          <w:tcPr>
            <w:tcW w:w="55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szCs w:val="21"/>
                <w:highlight w:val="none"/>
              </w:rPr>
            </w:pPr>
          </w:p>
        </w:tc>
        <w:tc>
          <w:tcPr>
            <w:tcW w:w="88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szCs w:val="21"/>
                <w:highlight w:val="none"/>
              </w:rPr>
            </w:pPr>
          </w:p>
        </w:tc>
        <w:tc>
          <w:tcPr>
            <w:tcW w:w="15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szCs w:val="21"/>
                <w:highlight w:val="none"/>
              </w:rPr>
            </w:pPr>
          </w:p>
        </w:tc>
        <w:tc>
          <w:tcPr>
            <w:tcW w:w="140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szCs w:val="21"/>
                <w:highlight w:val="none"/>
              </w:rPr>
            </w:pPr>
          </w:p>
        </w:tc>
        <w:tc>
          <w:tcPr>
            <w:tcW w:w="158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szCs w:val="21"/>
                <w:highlight w:val="none"/>
              </w:rPr>
            </w:pPr>
          </w:p>
        </w:tc>
        <w:tc>
          <w:tcPr>
            <w:tcW w:w="76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szCs w:val="21"/>
                <w:highlight w:val="none"/>
              </w:rPr>
            </w:pPr>
          </w:p>
        </w:tc>
        <w:tc>
          <w:tcPr>
            <w:tcW w:w="93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cs="Times New Roman"/>
                <w:color w:val="000000"/>
                <w:szCs w:val="21"/>
                <w:highlight w:val="none"/>
              </w:rPr>
            </w:pPr>
          </w:p>
        </w:tc>
        <w:tc>
          <w:tcPr>
            <w:tcW w:w="68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both"/>
              <w:rPr>
                <w:rFonts w:hint="default" w:ascii="Times New Roman" w:hAnsi="Times New Roman" w:cs="Times New Roman"/>
                <w:color w:val="000000"/>
                <w:szCs w:val="21"/>
                <w:highlight w:val="none"/>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sz w:val="30"/>
          <w:szCs w:val="30"/>
          <w:highlight w:val="none"/>
        </w:rPr>
        <w:t>12.</w:t>
      </w:r>
      <w:r>
        <w:rPr>
          <w:rFonts w:hint="default" w:ascii="Times New Roman" w:hAnsi="Times New Roman" w:eastAsia="仿宋_GB2312" w:cs="Times New Roman"/>
          <w:b/>
          <w:sz w:val="30"/>
          <w:szCs w:val="30"/>
          <w:highlight w:val="none"/>
          <w:lang w:val="en-US" w:eastAsia="zh-CN"/>
        </w:rPr>
        <w:t>6</w:t>
      </w:r>
      <w:r>
        <w:rPr>
          <w:rFonts w:hint="default" w:ascii="Times New Roman" w:hAnsi="Times New Roman" w:eastAsia="仿宋_GB2312" w:cs="Times New Roman"/>
          <w:b/>
          <w:sz w:val="30"/>
          <w:szCs w:val="30"/>
          <w:highlight w:val="none"/>
        </w:rPr>
        <w:t>聘任、解聘会计师事务所情况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报告期内，本公司续聘上会会计师事务所</w:t>
      </w:r>
      <w:r>
        <w:rPr>
          <w:rFonts w:hint="default" w:ascii="Times New Roman" w:hAnsi="Times New Roman" w:eastAsia="仿宋_GB2312" w:cs="Times New Roman"/>
          <w:sz w:val="30"/>
          <w:szCs w:val="30"/>
          <w:highlight w:val="none"/>
          <w:lang w:eastAsia="zh-CN"/>
        </w:rPr>
        <w:t>（特殊普通合伙）</w:t>
      </w:r>
      <w:r>
        <w:rPr>
          <w:rFonts w:hint="default" w:ascii="Times New Roman" w:hAnsi="Times New Roman" w:eastAsia="仿宋_GB2312" w:cs="Times New Roman"/>
          <w:sz w:val="30"/>
          <w:szCs w:val="30"/>
          <w:highlight w:val="none"/>
        </w:rPr>
        <w:t>担任公司按国内会计准则编制年度财务报</w:t>
      </w:r>
      <w:r>
        <w:rPr>
          <w:rFonts w:hint="default" w:ascii="Times New Roman" w:hAnsi="Times New Roman" w:eastAsia="仿宋_GB2312" w:cs="Times New Roman"/>
          <w:sz w:val="30"/>
          <w:szCs w:val="30"/>
          <w:highlight w:val="none"/>
          <w:lang w:eastAsia="zh-CN"/>
        </w:rPr>
        <w:t>表</w:t>
      </w:r>
      <w:r>
        <w:rPr>
          <w:rFonts w:hint="default" w:ascii="Times New Roman" w:hAnsi="Times New Roman" w:eastAsia="仿宋_GB2312" w:cs="Times New Roman"/>
          <w:sz w:val="30"/>
          <w:szCs w:val="30"/>
          <w:highlight w:val="none"/>
        </w:rPr>
        <w:t>的审计机构。</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bCs/>
          <w:sz w:val="30"/>
          <w:szCs w:val="30"/>
          <w:highlight w:val="none"/>
        </w:rPr>
        <w:t>13</w:t>
      </w:r>
      <w:r>
        <w:rPr>
          <w:rFonts w:hint="default" w:ascii="Times New Roman" w:hAnsi="Times New Roman" w:eastAsia="仿宋_GB2312" w:cs="Times New Roman"/>
          <w:b/>
          <w:bCs/>
          <w:sz w:val="30"/>
          <w:szCs w:val="30"/>
          <w:highlight w:val="none"/>
          <w:lang w:eastAsia="zh-CN"/>
        </w:rPr>
        <w:t>、</w:t>
      </w:r>
      <w:r>
        <w:rPr>
          <w:rFonts w:hint="default" w:ascii="Times New Roman" w:hAnsi="Times New Roman" w:eastAsia="仿宋_GB2312" w:cs="Times New Roman"/>
          <w:b/>
          <w:bCs/>
          <w:sz w:val="30"/>
          <w:szCs w:val="30"/>
          <w:highlight w:val="none"/>
        </w:rPr>
        <w:t>财务报告</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b/>
          <w:sz w:val="30"/>
          <w:szCs w:val="30"/>
          <w:highlight w:val="none"/>
        </w:rPr>
        <w:t>13.1审计意见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r>
        <w:rPr>
          <w:rFonts w:hint="default" w:ascii="Times New Roman" w:hAnsi="Times New Roman" w:eastAsia="仿宋_GB2312" w:cs="Times New Roman"/>
          <w:sz w:val="30"/>
          <w:szCs w:val="30"/>
          <w:highlight w:val="none"/>
        </w:rPr>
        <w:t>本公司202</w:t>
      </w:r>
      <w:r>
        <w:rPr>
          <w:rFonts w:hint="eastAsia" w:eastAsia="仿宋_GB2312" w:cs="Times New Roman"/>
          <w:sz w:val="30"/>
          <w:szCs w:val="30"/>
          <w:highlight w:val="none"/>
          <w:lang w:val="en-US" w:eastAsia="zh-CN"/>
        </w:rPr>
        <w:t>5</w:t>
      </w:r>
      <w:r>
        <w:rPr>
          <w:rFonts w:hint="default" w:ascii="Times New Roman" w:hAnsi="Times New Roman" w:eastAsia="仿宋_GB2312" w:cs="Times New Roman"/>
          <w:sz w:val="30"/>
          <w:szCs w:val="30"/>
          <w:highlight w:val="none"/>
        </w:rPr>
        <w:t>年度财务报</w:t>
      </w:r>
      <w:r>
        <w:rPr>
          <w:rFonts w:hint="default" w:ascii="Times New Roman" w:hAnsi="Times New Roman" w:eastAsia="仿宋_GB2312" w:cs="Times New Roman"/>
          <w:sz w:val="30"/>
          <w:szCs w:val="30"/>
          <w:highlight w:val="none"/>
          <w:lang w:eastAsia="zh-CN"/>
        </w:rPr>
        <w:t>表</w:t>
      </w:r>
      <w:r>
        <w:rPr>
          <w:rFonts w:hint="default" w:ascii="Times New Roman" w:hAnsi="Times New Roman" w:eastAsia="仿宋_GB2312" w:cs="Times New Roman"/>
          <w:sz w:val="30"/>
          <w:szCs w:val="30"/>
          <w:highlight w:val="none"/>
        </w:rPr>
        <w:t>已经上会会计师事务所</w:t>
      </w:r>
      <w:r>
        <w:rPr>
          <w:rFonts w:hint="default" w:ascii="Times New Roman" w:hAnsi="Times New Roman" w:eastAsia="仿宋_GB2312" w:cs="Times New Roman"/>
          <w:sz w:val="30"/>
          <w:szCs w:val="30"/>
          <w:highlight w:val="none"/>
          <w:lang w:eastAsia="zh-CN"/>
        </w:rPr>
        <w:t>（特殊普通合伙）</w:t>
      </w:r>
      <w:r>
        <w:rPr>
          <w:rFonts w:hint="default" w:ascii="Times New Roman" w:hAnsi="Times New Roman" w:eastAsia="仿宋_GB2312" w:cs="Times New Roman"/>
          <w:sz w:val="30"/>
          <w:szCs w:val="30"/>
          <w:highlight w:val="none"/>
        </w:rPr>
        <w:t>审计，并出具了标准无保留意见审计报告。</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仿宋_GB2312" w:cs="Times New Roman"/>
          <w:sz w:val="30"/>
          <w:szCs w:val="30"/>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eastAsia="仿宋_GB2312" w:cs="Times New Roman"/>
          <w:sz w:val="30"/>
          <w:szCs w:val="30"/>
          <w:highlight w:val="none"/>
          <w:lang w:val="en-US" w:eastAsia="zh-CN"/>
        </w:rPr>
      </w:pPr>
      <w:r>
        <w:rPr>
          <w:rFonts w:hint="eastAsia" w:eastAsia="仿宋_GB2312" w:cs="Times New Roman"/>
          <w:sz w:val="30"/>
          <w:szCs w:val="30"/>
          <w:highlight w:val="none"/>
          <w:lang w:val="en-US" w:eastAsia="zh-CN"/>
        </w:rPr>
        <w:t xml:space="preserve">                      重庆北碚稠州村镇银行</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eastAsia="仿宋_GB2312" w:cs="Times New Roman"/>
          <w:sz w:val="30"/>
          <w:szCs w:val="30"/>
          <w:highlight w:val="none"/>
          <w:lang w:val="en-US" w:eastAsia="zh-CN"/>
        </w:rPr>
      </w:pPr>
      <w:r>
        <w:rPr>
          <w:rFonts w:hint="eastAsia" w:eastAsia="仿宋_GB2312" w:cs="Times New Roman"/>
          <w:sz w:val="30"/>
          <w:szCs w:val="30"/>
          <w:highlight w:val="none"/>
          <w:lang w:val="en-US" w:eastAsia="zh-CN"/>
        </w:rPr>
        <w:t xml:space="preserve">                        2026年4月1日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46905F"/>
    <w:multiLevelType w:val="singleLevel"/>
    <w:tmpl w:val="E046905F"/>
    <w:lvl w:ilvl="0" w:tentative="0">
      <w:start w:val="6"/>
      <w:numFmt w:val="decimal"/>
      <w:suff w:val="nothing"/>
      <w:lvlText w:val="%1、"/>
      <w:lvlJc w:val="left"/>
    </w:lvl>
  </w:abstractNum>
  <w:abstractNum w:abstractNumId="1">
    <w:nsid w:val="6485DE6B"/>
    <w:multiLevelType w:val="singleLevel"/>
    <w:tmpl w:val="6485DE6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A2A42"/>
    <w:rsid w:val="000050A6"/>
    <w:rsid w:val="00051A02"/>
    <w:rsid w:val="000919F6"/>
    <w:rsid w:val="000E6577"/>
    <w:rsid w:val="001120B3"/>
    <w:rsid w:val="00124D7E"/>
    <w:rsid w:val="00143FBC"/>
    <w:rsid w:val="001816E4"/>
    <w:rsid w:val="002A6F8D"/>
    <w:rsid w:val="002E543A"/>
    <w:rsid w:val="00333F09"/>
    <w:rsid w:val="00427C9A"/>
    <w:rsid w:val="004B3C8A"/>
    <w:rsid w:val="004F24A0"/>
    <w:rsid w:val="005126B3"/>
    <w:rsid w:val="00532A2C"/>
    <w:rsid w:val="0057022D"/>
    <w:rsid w:val="00644286"/>
    <w:rsid w:val="007E6B63"/>
    <w:rsid w:val="00815AFC"/>
    <w:rsid w:val="008322FF"/>
    <w:rsid w:val="008629C8"/>
    <w:rsid w:val="00871340"/>
    <w:rsid w:val="008D5DB3"/>
    <w:rsid w:val="009671E4"/>
    <w:rsid w:val="009A1B4D"/>
    <w:rsid w:val="009C0C90"/>
    <w:rsid w:val="009C2A91"/>
    <w:rsid w:val="00A62D76"/>
    <w:rsid w:val="00AE6C4C"/>
    <w:rsid w:val="00C669E2"/>
    <w:rsid w:val="00C8439E"/>
    <w:rsid w:val="00E72DA6"/>
    <w:rsid w:val="00ED00A0"/>
    <w:rsid w:val="00EF1737"/>
    <w:rsid w:val="00F51B73"/>
    <w:rsid w:val="00FA7F9F"/>
    <w:rsid w:val="00FC5FF7"/>
    <w:rsid w:val="01053DB2"/>
    <w:rsid w:val="010A044B"/>
    <w:rsid w:val="0110505C"/>
    <w:rsid w:val="011849B2"/>
    <w:rsid w:val="011D307F"/>
    <w:rsid w:val="011E6499"/>
    <w:rsid w:val="013F0538"/>
    <w:rsid w:val="01514986"/>
    <w:rsid w:val="015A42BF"/>
    <w:rsid w:val="0167572F"/>
    <w:rsid w:val="016D7219"/>
    <w:rsid w:val="01714C3E"/>
    <w:rsid w:val="01730DA4"/>
    <w:rsid w:val="017E76AE"/>
    <w:rsid w:val="01A15BD6"/>
    <w:rsid w:val="01AB2A08"/>
    <w:rsid w:val="01AF17B8"/>
    <w:rsid w:val="01B368C8"/>
    <w:rsid w:val="01B75752"/>
    <w:rsid w:val="01C348E8"/>
    <w:rsid w:val="01C92179"/>
    <w:rsid w:val="01CA2B52"/>
    <w:rsid w:val="01CF4CEA"/>
    <w:rsid w:val="01D02E5B"/>
    <w:rsid w:val="01E773D0"/>
    <w:rsid w:val="01E97E48"/>
    <w:rsid w:val="01EA46C8"/>
    <w:rsid w:val="01ED484B"/>
    <w:rsid w:val="01EF09DE"/>
    <w:rsid w:val="01EF37FC"/>
    <w:rsid w:val="01F35BF1"/>
    <w:rsid w:val="01F54BEA"/>
    <w:rsid w:val="01F670AD"/>
    <w:rsid w:val="01F7375C"/>
    <w:rsid w:val="020C4ECE"/>
    <w:rsid w:val="02191EA1"/>
    <w:rsid w:val="021E0788"/>
    <w:rsid w:val="022E3677"/>
    <w:rsid w:val="0231338F"/>
    <w:rsid w:val="023727D1"/>
    <w:rsid w:val="02390AC7"/>
    <w:rsid w:val="023F7F57"/>
    <w:rsid w:val="02444ECC"/>
    <w:rsid w:val="02450438"/>
    <w:rsid w:val="024A219A"/>
    <w:rsid w:val="024C3596"/>
    <w:rsid w:val="026C0181"/>
    <w:rsid w:val="0271159C"/>
    <w:rsid w:val="027A1EE7"/>
    <w:rsid w:val="02853B67"/>
    <w:rsid w:val="02906692"/>
    <w:rsid w:val="02907AD9"/>
    <w:rsid w:val="029925D6"/>
    <w:rsid w:val="029D74DF"/>
    <w:rsid w:val="02AC6DFF"/>
    <w:rsid w:val="02B25256"/>
    <w:rsid w:val="02B31D61"/>
    <w:rsid w:val="02C9104A"/>
    <w:rsid w:val="02CD0512"/>
    <w:rsid w:val="02D21941"/>
    <w:rsid w:val="02E67B65"/>
    <w:rsid w:val="02EB10F1"/>
    <w:rsid w:val="0308668B"/>
    <w:rsid w:val="0335636D"/>
    <w:rsid w:val="034626F6"/>
    <w:rsid w:val="034B5A57"/>
    <w:rsid w:val="034C5D55"/>
    <w:rsid w:val="0353680E"/>
    <w:rsid w:val="035A5D8D"/>
    <w:rsid w:val="03620A1D"/>
    <w:rsid w:val="03632E76"/>
    <w:rsid w:val="036F2E0A"/>
    <w:rsid w:val="03964825"/>
    <w:rsid w:val="039A0429"/>
    <w:rsid w:val="03A064A6"/>
    <w:rsid w:val="03A128E0"/>
    <w:rsid w:val="03A46152"/>
    <w:rsid w:val="03AC1C9B"/>
    <w:rsid w:val="03AE5768"/>
    <w:rsid w:val="03B90955"/>
    <w:rsid w:val="03BE5586"/>
    <w:rsid w:val="03C64E25"/>
    <w:rsid w:val="03CE3778"/>
    <w:rsid w:val="03D2565D"/>
    <w:rsid w:val="03D7644D"/>
    <w:rsid w:val="03E35BE9"/>
    <w:rsid w:val="03E7248A"/>
    <w:rsid w:val="03ED440D"/>
    <w:rsid w:val="03EF0425"/>
    <w:rsid w:val="03F17369"/>
    <w:rsid w:val="03F30427"/>
    <w:rsid w:val="040B2276"/>
    <w:rsid w:val="04126165"/>
    <w:rsid w:val="041421C6"/>
    <w:rsid w:val="04191F87"/>
    <w:rsid w:val="042909BD"/>
    <w:rsid w:val="0430052E"/>
    <w:rsid w:val="04301AF0"/>
    <w:rsid w:val="043031F6"/>
    <w:rsid w:val="04316E72"/>
    <w:rsid w:val="043349BF"/>
    <w:rsid w:val="043866B6"/>
    <w:rsid w:val="04433CE7"/>
    <w:rsid w:val="04632E60"/>
    <w:rsid w:val="04647E3A"/>
    <w:rsid w:val="046A1C72"/>
    <w:rsid w:val="04883CCA"/>
    <w:rsid w:val="048F2E48"/>
    <w:rsid w:val="04975852"/>
    <w:rsid w:val="04AF4550"/>
    <w:rsid w:val="04B127C7"/>
    <w:rsid w:val="04B701B5"/>
    <w:rsid w:val="04B94257"/>
    <w:rsid w:val="04C151AB"/>
    <w:rsid w:val="04CA37E7"/>
    <w:rsid w:val="04CC73B4"/>
    <w:rsid w:val="04D04135"/>
    <w:rsid w:val="04D13C8A"/>
    <w:rsid w:val="04D2142A"/>
    <w:rsid w:val="04D86F4E"/>
    <w:rsid w:val="04DE2C29"/>
    <w:rsid w:val="04E465F6"/>
    <w:rsid w:val="04E759DD"/>
    <w:rsid w:val="04EA7C7D"/>
    <w:rsid w:val="050B2C4D"/>
    <w:rsid w:val="05111324"/>
    <w:rsid w:val="0527181B"/>
    <w:rsid w:val="05274990"/>
    <w:rsid w:val="052A267F"/>
    <w:rsid w:val="05362446"/>
    <w:rsid w:val="05424660"/>
    <w:rsid w:val="0554166B"/>
    <w:rsid w:val="05557DA5"/>
    <w:rsid w:val="056566B1"/>
    <w:rsid w:val="057E59E1"/>
    <w:rsid w:val="058001A2"/>
    <w:rsid w:val="058833E1"/>
    <w:rsid w:val="058B55B5"/>
    <w:rsid w:val="0590331C"/>
    <w:rsid w:val="059D0FF7"/>
    <w:rsid w:val="05A10FB4"/>
    <w:rsid w:val="05A256A4"/>
    <w:rsid w:val="05AB3BA4"/>
    <w:rsid w:val="05AE174A"/>
    <w:rsid w:val="05B65FE4"/>
    <w:rsid w:val="05C57095"/>
    <w:rsid w:val="05DC252D"/>
    <w:rsid w:val="05E170C5"/>
    <w:rsid w:val="05E44489"/>
    <w:rsid w:val="05F1617F"/>
    <w:rsid w:val="05F62FAA"/>
    <w:rsid w:val="060025CF"/>
    <w:rsid w:val="0608407D"/>
    <w:rsid w:val="060E5AB2"/>
    <w:rsid w:val="061D2F2C"/>
    <w:rsid w:val="062C228F"/>
    <w:rsid w:val="062F37B7"/>
    <w:rsid w:val="06310F83"/>
    <w:rsid w:val="06317E8C"/>
    <w:rsid w:val="06322789"/>
    <w:rsid w:val="063C6C0D"/>
    <w:rsid w:val="063F3FE4"/>
    <w:rsid w:val="06425380"/>
    <w:rsid w:val="06491F4E"/>
    <w:rsid w:val="064B1C97"/>
    <w:rsid w:val="06515C4C"/>
    <w:rsid w:val="0652400F"/>
    <w:rsid w:val="06582917"/>
    <w:rsid w:val="065A79E8"/>
    <w:rsid w:val="0665191E"/>
    <w:rsid w:val="06705D0A"/>
    <w:rsid w:val="06822B0F"/>
    <w:rsid w:val="06837729"/>
    <w:rsid w:val="06850738"/>
    <w:rsid w:val="06862CAD"/>
    <w:rsid w:val="068A1FA0"/>
    <w:rsid w:val="06A37AD5"/>
    <w:rsid w:val="06A83F06"/>
    <w:rsid w:val="06B861D3"/>
    <w:rsid w:val="06BF792F"/>
    <w:rsid w:val="06CD260B"/>
    <w:rsid w:val="06D002D3"/>
    <w:rsid w:val="06D647E0"/>
    <w:rsid w:val="06DE0BDC"/>
    <w:rsid w:val="06FC512C"/>
    <w:rsid w:val="070279F8"/>
    <w:rsid w:val="07112454"/>
    <w:rsid w:val="07207710"/>
    <w:rsid w:val="072708FD"/>
    <w:rsid w:val="0730495A"/>
    <w:rsid w:val="0734310B"/>
    <w:rsid w:val="07415E50"/>
    <w:rsid w:val="075646EA"/>
    <w:rsid w:val="07606C47"/>
    <w:rsid w:val="076A2CFF"/>
    <w:rsid w:val="077610F4"/>
    <w:rsid w:val="07807C29"/>
    <w:rsid w:val="079A58C0"/>
    <w:rsid w:val="07A52A56"/>
    <w:rsid w:val="07B51458"/>
    <w:rsid w:val="07B97D29"/>
    <w:rsid w:val="07C73493"/>
    <w:rsid w:val="07D04A4A"/>
    <w:rsid w:val="07D13149"/>
    <w:rsid w:val="07D51434"/>
    <w:rsid w:val="07D87A40"/>
    <w:rsid w:val="07DB275E"/>
    <w:rsid w:val="07DB6B12"/>
    <w:rsid w:val="07E018B6"/>
    <w:rsid w:val="07E670E9"/>
    <w:rsid w:val="07ED0F4C"/>
    <w:rsid w:val="07F61AC1"/>
    <w:rsid w:val="07FB1763"/>
    <w:rsid w:val="08063E27"/>
    <w:rsid w:val="080832CE"/>
    <w:rsid w:val="080A7CE7"/>
    <w:rsid w:val="080F3B8A"/>
    <w:rsid w:val="08113E7A"/>
    <w:rsid w:val="08120CF1"/>
    <w:rsid w:val="08166A9B"/>
    <w:rsid w:val="08290317"/>
    <w:rsid w:val="082B330B"/>
    <w:rsid w:val="083358E5"/>
    <w:rsid w:val="083856BE"/>
    <w:rsid w:val="083F3404"/>
    <w:rsid w:val="08461573"/>
    <w:rsid w:val="084829AE"/>
    <w:rsid w:val="084F03FC"/>
    <w:rsid w:val="085412DB"/>
    <w:rsid w:val="085F0522"/>
    <w:rsid w:val="08646946"/>
    <w:rsid w:val="086E0525"/>
    <w:rsid w:val="087D1192"/>
    <w:rsid w:val="08861435"/>
    <w:rsid w:val="088B369F"/>
    <w:rsid w:val="089018D4"/>
    <w:rsid w:val="08A81315"/>
    <w:rsid w:val="08AA35DF"/>
    <w:rsid w:val="08AD316E"/>
    <w:rsid w:val="08BD7372"/>
    <w:rsid w:val="08C5480E"/>
    <w:rsid w:val="08CD23C1"/>
    <w:rsid w:val="08D12680"/>
    <w:rsid w:val="08DD3A70"/>
    <w:rsid w:val="08E376A6"/>
    <w:rsid w:val="08EB0B36"/>
    <w:rsid w:val="08EB4AFF"/>
    <w:rsid w:val="08F154BC"/>
    <w:rsid w:val="08FE09E1"/>
    <w:rsid w:val="09056407"/>
    <w:rsid w:val="09102DD8"/>
    <w:rsid w:val="09170FFB"/>
    <w:rsid w:val="091B59B6"/>
    <w:rsid w:val="091E5409"/>
    <w:rsid w:val="09272D4E"/>
    <w:rsid w:val="092A395E"/>
    <w:rsid w:val="092E5B5E"/>
    <w:rsid w:val="092F708D"/>
    <w:rsid w:val="093A4F4E"/>
    <w:rsid w:val="093B1D14"/>
    <w:rsid w:val="093B685C"/>
    <w:rsid w:val="093E69C3"/>
    <w:rsid w:val="09485EC9"/>
    <w:rsid w:val="094D233D"/>
    <w:rsid w:val="094E03CD"/>
    <w:rsid w:val="0961271A"/>
    <w:rsid w:val="096178E8"/>
    <w:rsid w:val="096C4FEC"/>
    <w:rsid w:val="097359B3"/>
    <w:rsid w:val="097B6BC5"/>
    <w:rsid w:val="099665E2"/>
    <w:rsid w:val="09A348C3"/>
    <w:rsid w:val="09A87DB6"/>
    <w:rsid w:val="09B7580E"/>
    <w:rsid w:val="09C603F5"/>
    <w:rsid w:val="09CA07E9"/>
    <w:rsid w:val="09DD2489"/>
    <w:rsid w:val="09E311B4"/>
    <w:rsid w:val="09E74EB6"/>
    <w:rsid w:val="09FD6555"/>
    <w:rsid w:val="0A020827"/>
    <w:rsid w:val="0A1A00C1"/>
    <w:rsid w:val="0A26383C"/>
    <w:rsid w:val="0A292D48"/>
    <w:rsid w:val="0A310EF0"/>
    <w:rsid w:val="0A3D04D3"/>
    <w:rsid w:val="0A405EE4"/>
    <w:rsid w:val="0A5513A5"/>
    <w:rsid w:val="0A683A11"/>
    <w:rsid w:val="0A6B4944"/>
    <w:rsid w:val="0A6B795B"/>
    <w:rsid w:val="0A7E5AC6"/>
    <w:rsid w:val="0A7F5A4F"/>
    <w:rsid w:val="0A822C04"/>
    <w:rsid w:val="0A865ACC"/>
    <w:rsid w:val="0A8A6741"/>
    <w:rsid w:val="0A9B02BE"/>
    <w:rsid w:val="0A9E2F12"/>
    <w:rsid w:val="0AA963EE"/>
    <w:rsid w:val="0AAC130B"/>
    <w:rsid w:val="0AB71B9F"/>
    <w:rsid w:val="0ABD5B27"/>
    <w:rsid w:val="0AD30722"/>
    <w:rsid w:val="0AD715A6"/>
    <w:rsid w:val="0AD86B66"/>
    <w:rsid w:val="0ADB257F"/>
    <w:rsid w:val="0ADF49F4"/>
    <w:rsid w:val="0AE36C0B"/>
    <w:rsid w:val="0AF92487"/>
    <w:rsid w:val="0B017046"/>
    <w:rsid w:val="0B087794"/>
    <w:rsid w:val="0B1216A5"/>
    <w:rsid w:val="0B267D11"/>
    <w:rsid w:val="0B27695C"/>
    <w:rsid w:val="0B2E2017"/>
    <w:rsid w:val="0B4208EA"/>
    <w:rsid w:val="0B4A22D4"/>
    <w:rsid w:val="0B4B7F63"/>
    <w:rsid w:val="0B5B6FE5"/>
    <w:rsid w:val="0B5D0627"/>
    <w:rsid w:val="0B6655AE"/>
    <w:rsid w:val="0B6876A4"/>
    <w:rsid w:val="0B786CAC"/>
    <w:rsid w:val="0B952634"/>
    <w:rsid w:val="0BA23F11"/>
    <w:rsid w:val="0BA54FE3"/>
    <w:rsid w:val="0BAF176A"/>
    <w:rsid w:val="0BBB77CE"/>
    <w:rsid w:val="0BD8756F"/>
    <w:rsid w:val="0BD92037"/>
    <w:rsid w:val="0BD94BCF"/>
    <w:rsid w:val="0BE23A5A"/>
    <w:rsid w:val="0BE3682E"/>
    <w:rsid w:val="0BE5786A"/>
    <w:rsid w:val="0BE85812"/>
    <w:rsid w:val="0BF4453F"/>
    <w:rsid w:val="0C013C8A"/>
    <w:rsid w:val="0C040999"/>
    <w:rsid w:val="0C087A17"/>
    <w:rsid w:val="0C0C38B3"/>
    <w:rsid w:val="0C150AF6"/>
    <w:rsid w:val="0C1862A4"/>
    <w:rsid w:val="0C3F750E"/>
    <w:rsid w:val="0C3F76D9"/>
    <w:rsid w:val="0C48348A"/>
    <w:rsid w:val="0C5B740A"/>
    <w:rsid w:val="0C5E1387"/>
    <w:rsid w:val="0C5F7831"/>
    <w:rsid w:val="0C63012E"/>
    <w:rsid w:val="0C653B26"/>
    <w:rsid w:val="0C654B32"/>
    <w:rsid w:val="0C6A7181"/>
    <w:rsid w:val="0C6F5FA8"/>
    <w:rsid w:val="0C7A67AA"/>
    <w:rsid w:val="0C7D6192"/>
    <w:rsid w:val="0C8551FF"/>
    <w:rsid w:val="0C8F0BB0"/>
    <w:rsid w:val="0C9148F7"/>
    <w:rsid w:val="0C946A64"/>
    <w:rsid w:val="0C966CC6"/>
    <w:rsid w:val="0CA52C42"/>
    <w:rsid w:val="0CAB6920"/>
    <w:rsid w:val="0CAD3F54"/>
    <w:rsid w:val="0CB2026D"/>
    <w:rsid w:val="0CB55B63"/>
    <w:rsid w:val="0CB5776F"/>
    <w:rsid w:val="0CC473E7"/>
    <w:rsid w:val="0CC67703"/>
    <w:rsid w:val="0CC960FE"/>
    <w:rsid w:val="0CD06022"/>
    <w:rsid w:val="0CE0792F"/>
    <w:rsid w:val="0CE53A43"/>
    <w:rsid w:val="0CE611D7"/>
    <w:rsid w:val="0CF04417"/>
    <w:rsid w:val="0CF939F2"/>
    <w:rsid w:val="0CFB5E78"/>
    <w:rsid w:val="0CFF583A"/>
    <w:rsid w:val="0D16673E"/>
    <w:rsid w:val="0D1E6705"/>
    <w:rsid w:val="0D286016"/>
    <w:rsid w:val="0D3267F6"/>
    <w:rsid w:val="0D344396"/>
    <w:rsid w:val="0D403BBD"/>
    <w:rsid w:val="0D4407FA"/>
    <w:rsid w:val="0D457FC9"/>
    <w:rsid w:val="0D503A1A"/>
    <w:rsid w:val="0D5764C6"/>
    <w:rsid w:val="0D6F1981"/>
    <w:rsid w:val="0D7357B4"/>
    <w:rsid w:val="0D7474FA"/>
    <w:rsid w:val="0D871B52"/>
    <w:rsid w:val="0D896513"/>
    <w:rsid w:val="0DA87A1A"/>
    <w:rsid w:val="0DAB5015"/>
    <w:rsid w:val="0DC372FD"/>
    <w:rsid w:val="0DC51334"/>
    <w:rsid w:val="0DC96CB9"/>
    <w:rsid w:val="0DCE379D"/>
    <w:rsid w:val="0DCF1F3D"/>
    <w:rsid w:val="0DD265D5"/>
    <w:rsid w:val="0DD656B9"/>
    <w:rsid w:val="0DD70128"/>
    <w:rsid w:val="0DDA2E2A"/>
    <w:rsid w:val="0DDC2207"/>
    <w:rsid w:val="0DDD79CF"/>
    <w:rsid w:val="0DEC2B96"/>
    <w:rsid w:val="0DFC5025"/>
    <w:rsid w:val="0DFD240A"/>
    <w:rsid w:val="0DFD5D49"/>
    <w:rsid w:val="0E0E048C"/>
    <w:rsid w:val="0E1E0C9F"/>
    <w:rsid w:val="0E2005E0"/>
    <w:rsid w:val="0E2232D9"/>
    <w:rsid w:val="0E2827FB"/>
    <w:rsid w:val="0E306A2F"/>
    <w:rsid w:val="0E3732EB"/>
    <w:rsid w:val="0E3F52D4"/>
    <w:rsid w:val="0E47230A"/>
    <w:rsid w:val="0E4C51A4"/>
    <w:rsid w:val="0E4D6788"/>
    <w:rsid w:val="0E4F7B9F"/>
    <w:rsid w:val="0E5B6577"/>
    <w:rsid w:val="0E632CC5"/>
    <w:rsid w:val="0E685286"/>
    <w:rsid w:val="0E695AF1"/>
    <w:rsid w:val="0E9777D1"/>
    <w:rsid w:val="0EA26BFD"/>
    <w:rsid w:val="0EC06D2F"/>
    <w:rsid w:val="0EC147D9"/>
    <w:rsid w:val="0ECD66DA"/>
    <w:rsid w:val="0ED256F5"/>
    <w:rsid w:val="0EDB38F0"/>
    <w:rsid w:val="0EE46FAF"/>
    <w:rsid w:val="0EE94CBE"/>
    <w:rsid w:val="0EF434E2"/>
    <w:rsid w:val="0EF9670F"/>
    <w:rsid w:val="0EFE3B15"/>
    <w:rsid w:val="0F0424A3"/>
    <w:rsid w:val="0F06589C"/>
    <w:rsid w:val="0F0C2B69"/>
    <w:rsid w:val="0F1C13FC"/>
    <w:rsid w:val="0F227782"/>
    <w:rsid w:val="0F2477E9"/>
    <w:rsid w:val="0F31741F"/>
    <w:rsid w:val="0F3229DA"/>
    <w:rsid w:val="0F3A1AEA"/>
    <w:rsid w:val="0F567373"/>
    <w:rsid w:val="0F5B011F"/>
    <w:rsid w:val="0F6432CF"/>
    <w:rsid w:val="0F6C0DB6"/>
    <w:rsid w:val="0F6C239E"/>
    <w:rsid w:val="0F715ED1"/>
    <w:rsid w:val="0F7A2032"/>
    <w:rsid w:val="0F8263F2"/>
    <w:rsid w:val="0F8512FA"/>
    <w:rsid w:val="0FB11FFB"/>
    <w:rsid w:val="0FB27C98"/>
    <w:rsid w:val="0FBE427C"/>
    <w:rsid w:val="0FCB5110"/>
    <w:rsid w:val="0FD435E2"/>
    <w:rsid w:val="0FDF474C"/>
    <w:rsid w:val="0FEA7EE4"/>
    <w:rsid w:val="0FF469BF"/>
    <w:rsid w:val="0FFB3360"/>
    <w:rsid w:val="0FFB733B"/>
    <w:rsid w:val="10016B47"/>
    <w:rsid w:val="100771D3"/>
    <w:rsid w:val="10082F9A"/>
    <w:rsid w:val="10166366"/>
    <w:rsid w:val="102B1A94"/>
    <w:rsid w:val="103343C3"/>
    <w:rsid w:val="10351C1C"/>
    <w:rsid w:val="1039095A"/>
    <w:rsid w:val="1047476D"/>
    <w:rsid w:val="10487EB5"/>
    <w:rsid w:val="10531812"/>
    <w:rsid w:val="10551051"/>
    <w:rsid w:val="105665BA"/>
    <w:rsid w:val="105C4799"/>
    <w:rsid w:val="1068674C"/>
    <w:rsid w:val="106A6F24"/>
    <w:rsid w:val="106C00DF"/>
    <w:rsid w:val="106F2741"/>
    <w:rsid w:val="107101BC"/>
    <w:rsid w:val="107E0B40"/>
    <w:rsid w:val="10842E91"/>
    <w:rsid w:val="10896929"/>
    <w:rsid w:val="10B65C50"/>
    <w:rsid w:val="10B9233C"/>
    <w:rsid w:val="10C129CB"/>
    <w:rsid w:val="10C45A29"/>
    <w:rsid w:val="10CD3428"/>
    <w:rsid w:val="10D02F04"/>
    <w:rsid w:val="10DD4C2D"/>
    <w:rsid w:val="10F87986"/>
    <w:rsid w:val="110B3B65"/>
    <w:rsid w:val="11141F3A"/>
    <w:rsid w:val="11204FF0"/>
    <w:rsid w:val="11235CAF"/>
    <w:rsid w:val="1135311E"/>
    <w:rsid w:val="1135644B"/>
    <w:rsid w:val="11377E30"/>
    <w:rsid w:val="113D012D"/>
    <w:rsid w:val="11436D77"/>
    <w:rsid w:val="1143741D"/>
    <w:rsid w:val="114B111F"/>
    <w:rsid w:val="11545DB3"/>
    <w:rsid w:val="1159290E"/>
    <w:rsid w:val="115A0DBA"/>
    <w:rsid w:val="115B4901"/>
    <w:rsid w:val="115C64BB"/>
    <w:rsid w:val="116940BB"/>
    <w:rsid w:val="1176010B"/>
    <w:rsid w:val="1180001C"/>
    <w:rsid w:val="118C24C5"/>
    <w:rsid w:val="119C3FF9"/>
    <w:rsid w:val="11B066B5"/>
    <w:rsid w:val="11B61AA2"/>
    <w:rsid w:val="11BC539E"/>
    <w:rsid w:val="11BD7540"/>
    <w:rsid w:val="11C02458"/>
    <w:rsid w:val="11C17AE3"/>
    <w:rsid w:val="11DA7407"/>
    <w:rsid w:val="11EB3CEA"/>
    <w:rsid w:val="11F147EA"/>
    <w:rsid w:val="11F20095"/>
    <w:rsid w:val="11F755BB"/>
    <w:rsid w:val="11F75C05"/>
    <w:rsid w:val="120B35ED"/>
    <w:rsid w:val="1212231A"/>
    <w:rsid w:val="12225340"/>
    <w:rsid w:val="122D52DA"/>
    <w:rsid w:val="123A7862"/>
    <w:rsid w:val="12403D7E"/>
    <w:rsid w:val="1242612C"/>
    <w:rsid w:val="12500CD3"/>
    <w:rsid w:val="1255064D"/>
    <w:rsid w:val="125F11FB"/>
    <w:rsid w:val="12640D32"/>
    <w:rsid w:val="126D7689"/>
    <w:rsid w:val="126E70FD"/>
    <w:rsid w:val="12706E95"/>
    <w:rsid w:val="12740F77"/>
    <w:rsid w:val="12775E3E"/>
    <w:rsid w:val="1278278F"/>
    <w:rsid w:val="128010A7"/>
    <w:rsid w:val="12802914"/>
    <w:rsid w:val="12842241"/>
    <w:rsid w:val="12883FB4"/>
    <w:rsid w:val="128B5323"/>
    <w:rsid w:val="128C1652"/>
    <w:rsid w:val="128D6B8F"/>
    <w:rsid w:val="129B51F5"/>
    <w:rsid w:val="129D0868"/>
    <w:rsid w:val="12AA08F3"/>
    <w:rsid w:val="12AC2CA8"/>
    <w:rsid w:val="12AC7BFA"/>
    <w:rsid w:val="12AD2E32"/>
    <w:rsid w:val="12B062E3"/>
    <w:rsid w:val="12BA53A7"/>
    <w:rsid w:val="12C829E7"/>
    <w:rsid w:val="12DC594F"/>
    <w:rsid w:val="12DD776E"/>
    <w:rsid w:val="12E14EED"/>
    <w:rsid w:val="12E27EDA"/>
    <w:rsid w:val="12EB619F"/>
    <w:rsid w:val="12F508E6"/>
    <w:rsid w:val="13055C8F"/>
    <w:rsid w:val="130F4B88"/>
    <w:rsid w:val="131308DE"/>
    <w:rsid w:val="13160616"/>
    <w:rsid w:val="131E1B25"/>
    <w:rsid w:val="13224882"/>
    <w:rsid w:val="1325157E"/>
    <w:rsid w:val="134B2661"/>
    <w:rsid w:val="13535630"/>
    <w:rsid w:val="1354593A"/>
    <w:rsid w:val="136A4128"/>
    <w:rsid w:val="136A51FB"/>
    <w:rsid w:val="13810AB1"/>
    <w:rsid w:val="13844E73"/>
    <w:rsid w:val="138809EC"/>
    <w:rsid w:val="13887C1F"/>
    <w:rsid w:val="139417C6"/>
    <w:rsid w:val="13A810D3"/>
    <w:rsid w:val="13B02E47"/>
    <w:rsid w:val="13B23EA9"/>
    <w:rsid w:val="13B8185E"/>
    <w:rsid w:val="13BC25D7"/>
    <w:rsid w:val="13CA476F"/>
    <w:rsid w:val="13DC2BA2"/>
    <w:rsid w:val="13E71F1F"/>
    <w:rsid w:val="13EE7BE3"/>
    <w:rsid w:val="13F123E9"/>
    <w:rsid w:val="13F43A8C"/>
    <w:rsid w:val="13F93418"/>
    <w:rsid w:val="13F93B15"/>
    <w:rsid w:val="14081515"/>
    <w:rsid w:val="141A61DF"/>
    <w:rsid w:val="14224D78"/>
    <w:rsid w:val="14327D9C"/>
    <w:rsid w:val="14451269"/>
    <w:rsid w:val="144E6739"/>
    <w:rsid w:val="145727FF"/>
    <w:rsid w:val="14635FC7"/>
    <w:rsid w:val="146C0995"/>
    <w:rsid w:val="146C7E13"/>
    <w:rsid w:val="146D5390"/>
    <w:rsid w:val="146D7B20"/>
    <w:rsid w:val="147D3F44"/>
    <w:rsid w:val="14813D24"/>
    <w:rsid w:val="148E5C85"/>
    <w:rsid w:val="14901964"/>
    <w:rsid w:val="1494748D"/>
    <w:rsid w:val="14A75A96"/>
    <w:rsid w:val="14B0364D"/>
    <w:rsid w:val="14B1733B"/>
    <w:rsid w:val="14BC3557"/>
    <w:rsid w:val="14BD0435"/>
    <w:rsid w:val="14DD3401"/>
    <w:rsid w:val="14DE155F"/>
    <w:rsid w:val="14E869E6"/>
    <w:rsid w:val="14F66D6B"/>
    <w:rsid w:val="150135D3"/>
    <w:rsid w:val="151130A3"/>
    <w:rsid w:val="1514485C"/>
    <w:rsid w:val="15165650"/>
    <w:rsid w:val="1519604C"/>
    <w:rsid w:val="15280E5B"/>
    <w:rsid w:val="15342CFC"/>
    <w:rsid w:val="153B3374"/>
    <w:rsid w:val="154319A1"/>
    <w:rsid w:val="154417B7"/>
    <w:rsid w:val="154B3EBF"/>
    <w:rsid w:val="154F2FD7"/>
    <w:rsid w:val="15587310"/>
    <w:rsid w:val="15590C76"/>
    <w:rsid w:val="15645DCB"/>
    <w:rsid w:val="156F57FD"/>
    <w:rsid w:val="157E335E"/>
    <w:rsid w:val="15810B79"/>
    <w:rsid w:val="158245E9"/>
    <w:rsid w:val="158C79CD"/>
    <w:rsid w:val="158E4344"/>
    <w:rsid w:val="159A3B00"/>
    <w:rsid w:val="15A46521"/>
    <w:rsid w:val="15B034AA"/>
    <w:rsid w:val="15C37BF1"/>
    <w:rsid w:val="15CA66F5"/>
    <w:rsid w:val="15CF1C6F"/>
    <w:rsid w:val="15D55FF2"/>
    <w:rsid w:val="15D80983"/>
    <w:rsid w:val="15DB34EE"/>
    <w:rsid w:val="15E714A4"/>
    <w:rsid w:val="15FA163C"/>
    <w:rsid w:val="160155B9"/>
    <w:rsid w:val="1603179D"/>
    <w:rsid w:val="1604693C"/>
    <w:rsid w:val="161E4534"/>
    <w:rsid w:val="1621645B"/>
    <w:rsid w:val="16246C77"/>
    <w:rsid w:val="162B4503"/>
    <w:rsid w:val="162C6931"/>
    <w:rsid w:val="162E532D"/>
    <w:rsid w:val="162F3898"/>
    <w:rsid w:val="1630453F"/>
    <w:rsid w:val="16342031"/>
    <w:rsid w:val="163C28CF"/>
    <w:rsid w:val="16464D5A"/>
    <w:rsid w:val="16512557"/>
    <w:rsid w:val="16554D92"/>
    <w:rsid w:val="16591DDE"/>
    <w:rsid w:val="165F4CD5"/>
    <w:rsid w:val="166400A2"/>
    <w:rsid w:val="166850D0"/>
    <w:rsid w:val="166D6A17"/>
    <w:rsid w:val="1672719E"/>
    <w:rsid w:val="16785EAE"/>
    <w:rsid w:val="167D56C7"/>
    <w:rsid w:val="167D5ABA"/>
    <w:rsid w:val="168200D7"/>
    <w:rsid w:val="168C1F86"/>
    <w:rsid w:val="168D7800"/>
    <w:rsid w:val="168E7CF6"/>
    <w:rsid w:val="16903AC0"/>
    <w:rsid w:val="1691731B"/>
    <w:rsid w:val="169A03F9"/>
    <w:rsid w:val="169B5870"/>
    <w:rsid w:val="16A277DC"/>
    <w:rsid w:val="16B806F8"/>
    <w:rsid w:val="16D16A29"/>
    <w:rsid w:val="16DB6AA3"/>
    <w:rsid w:val="16ED76A5"/>
    <w:rsid w:val="16EF0D8D"/>
    <w:rsid w:val="16F27580"/>
    <w:rsid w:val="16FA71C6"/>
    <w:rsid w:val="16FD7033"/>
    <w:rsid w:val="17011EF9"/>
    <w:rsid w:val="170A3CDA"/>
    <w:rsid w:val="17101103"/>
    <w:rsid w:val="171272DE"/>
    <w:rsid w:val="171A1826"/>
    <w:rsid w:val="171A51DC"/>
    <w:rsid w:val="172027BB"/>
    <w:rsid w:val="17244A33"/>
    <w:rsid w:val="17272BD4"/>
    <w:rsid w:val="1728204E"/>
    <w:rsid w:val="1729737E"/>
    <w:rsid w:val="172A2442"/>
    <w:rsid w:val="172D036F"/>
    <w:rsid w:val="173021B7"/>
    <w:rsid w:val="1738176F"/>
    <w:rsid w:val="17393156"/>
    <w:rsid w:val="17397461"/>
    <w:rsid w:val="173B704C"/>
    <w:rsid w:val="17596D16"/>
    <w:rsid w:val="175A4729"/>
    <w:rsid w:val="175A7BC3"/>
    <w:rsid w:val="17626A9F"/>
    <w:rsid w:val="17655CEE"/>
    <w:rsid w:val="17733282"/>
    <w:rsid w:val="17740508"/>
    <w:rsid w:val="1774726C"/>
    <w:rsid w:val="177614D1"/>
    <w:rsid w:val="17937409"/>
    <w:rsid w:val="179C2BD8"/>
    <w:rsid w:val="17A15B70"/>
    <w:rsid w:val="17A45263"/>
    <w:rsid w:val="17A468FC"/>
    <w:rsid w:val="17AE4394"/>
    <w:rsid w:val="17B17F2C"/>
    <w:rsid w:val="17BA7205"/>
    <w:rsid w:val="17D2268C"/>
    <w:rsid w:val="17DB3FDF"/>
    <w:rsid w:val="17EC58F6"/>
    <w:rsid w:val="17F52A70"/>
    <w:rsid w:val="17F71029"/>
    <w:rsid w:val="17FF30DC"/>
    <w:rsid w:val="18075F80"/>
    <w:rsid w:val="18090C98"/>
    <w:rsid w:val="1819192A"/>
    <w:rsid w:val="181E52AF"/>
    <w:rsid w:val="182A0E32"/>
    <w:rsid w:val="18372864"/>
    <w:rsid w:val="18375BEB"/>
    <w:rsid w:val="183E79E7"/>
    <w:rsid w:val="18444BEA"/>
    <w:rsid w:val="18462D45"/>
    <w:rsid w:val="18463752"/>
    <w:rsid w:val="184D14B0"/>
    <w:rsid w:val="1856510B"/>
    <w:rsid w:val="18591805"/>
    <w:rsid w:val="185E3566"/>
    <w:rsid w:val="18683D45"/>
    <w:rsid w:val="18691D74"/>
    <w:rsid w:val="186A6EB4"/>
    <w:rsid w:val="1876562B"/>
    <w:rsid w:val="187D40DC"/>
    <w:rsid w:val="188C4D37"/>
    <w:rsid w:val="189004AB"/>
    <w:rsid w:val="18905D94"/>
    <w:rsid w:val="189602D2"/>
    <w:rsid w:val="189A7603"/>
    <w:rsid w:val="18AA35B2"/>
    <w:rsid w:val="18B91335"/>
    <w:rsid w:val="18C06C2B"/>
    <w:rsid w:val="18C2111B"/>
    <w:rsid w:val="18C269E9"/>
    <w:rsid w:val="18DB39CC"/>
    <w:rsid w:val="19157A96"/>
    <w:rsid w:val="191E230D"/>
    <w:rsid w:val="19282D1B"/>
    <w:rsid w:val="193A4776"/>
    <w:rsid w:val="194608FF"/>
    <w:rsid w:val="19494920"/>
    <w:rsid w:val="19624E04"/>
    <w:rsid w:val="19634499"/>
    <w:rsid w:val="19702A86"/>
    <w:rsid w:val="1974051C"/>
    <w:rsid w:val="19791568"/>
    <w:rsid w:val="19846404"/>
    <w:rsid w:val="199938B9"/>
    <w:rsid w:val="19A01782"/>
    <w:rsid w:val="19AB0D02"/>
    <w:rsid w:val="19BD759F"/>
    <w:rsid w:val="19C15467"/>
    <w:rsid w:val="19C36DDA"/>
    <w:rsid w:val="19C622DC"/>
    <w:rsid w:val="19CA46C7"/>
    <w:rsid w:val="19D76617"/>
    <w:rsid w:val="19E2199F"/>
    <w:rsid w:val="19E3117C"/>
    <w:rsid w:val="19E47042"/>
    <w:rsid w:val="19E66B62"/>
    <w:rsid w:val="19EE7B87"/>
    <w:rsid w:val="19F203A6"/>
    <w:rsid w:val="19F47108"/>
    <w:rsid w:val="19F5495D"/>
    <w:rsid w:val="19F71DD3"/>
    <w:rsid w:val="19F767E3"/>
    <w:rsid w:val="1A0D2073"/>
    <w:rsid w:val="1A184D38"/>
    <w:rsid w:val="1A37648F"/>
    <w:rsid w:val="1A395CFF"/>
    <w:rsid w:val="1A416849"/>
    <w:rsid w:val="1A440B02"/>
    <w:rsid w:val="1A454418"/>
    <w:rsid w:val="1A4700BF"/>
    <w:rsid w:val="1A5E61B3"/>
    <w:rsid w:val="1A634312"/>
    <w:rsid w:val="1A68007A"/>
    <w:rsid w:val="1A7C5614"/>
    <w:rsid w:val="1A7D4D4C"/>
    <w:rsid w:val="1A885859"/>
    <w:rsid w:val="1A8F2242"/>
    <w:rsid w:val="1A991237"/>
    <w:rsid w:val="1A9E0909"/>
    <w:rsid w:val="1AA55036"/>
    <w:rsid w:val="1AAF6ED9"/>
    <w:rsid w:val="1AB17FBE"/>
    <w:rsid w:val="1ABC5240"/>
    <w:rsid w:val="1ABE4106"/>
    <w:rsid w:val="1AC32E7A"/>
    <w:rsid w:val="1ACD3D28"/>
    <w:rsid w:val="1ACE65B3"/>
    <w:rsid w:val="1AD76213"/>
    <w:rsid w:val="1ADC2E66"/>
    <w:rsid w:val="1ADE4F64"/>
    <w:rsid w:val="1AE72918"/>
    <w:rsid w:val="1AF24809"/>
    <w:rsid w:val="1AF60C36"/>
    <w:rsid w:val="1AF828D7"/>
    <w:rsid w:val="1B025058"/>
    <w:rsid w:val="1B0613E1"/>
    <w:rsid w:val="1B150266"/>
    <w:rsid w:val="1B242B3F"/>
    <w:rsid w:val="1B272708"/>
    <w:rsid w:val="1B2A15E0"/>
    <w:rsid w:val="1B2C2671"/>
    <w:rsid w:val="1B37724E"/>
    <w:rsid w:val="1B3C7ABB"/>
    <w:rsid w:val="1B400916"/>
    <w:rsid w:val="1B417455"/>
    <w:rsid w:val="1B6847DD"/>
    <w:rsid w:val="1B7016B1"/>
    <w:rsid w:val="1B730202"/>
    <w:rsid w:val="1B784D6C"/>
    <w:rsid w:val="1B793CE9"/>
    <w:rsid w:val="1B8528E0"/>
    <w:rsid w:val="1B8C4D5C"/>
    <w:rsid w:val="1B8E6609"/>
    <w:rsid w:val="1B9D1A07"/>
    <w:rsid w:val="1B9E3554"/>
    <w:rsid w:val="1BA6153B"/>
    <w:rsid w:val="1BA72FA2"/>
    <w:rsid w:val="1BB5368A"/>
    <w:rsid w:val="1BBF418B"/>
    <w:rsid w:val="1BC072DB"/>
    <w:rsid w:val="1BDE60D5"/>
    <w:rsid w:val="1BE93920"/>
    <w:rsid w:val="1BF96262"/>
    <w:rsid w:val="1C026FB3"/>
    <w:rsid w:val="1C07130E"/>
    <w:rsid w:val="1C14048C"/>
    <w:rsid w:val="1C2503BF"/>
    <w:rsid w:val="1C2F2381"/>
    <w:rsid w:val="1C3C4434"/>
    <w:rsid w:val="1C423992"/>
    <w:rsid w:val="1C4900E3"/>
    <w:rsid w:val="1C5539DC"/>
    <w:rsid w:val="1C5B2298"/>
    <w:rsid w:val="1C5C6548"/>
    <w:rsid w:val="1C646E50"/>
    <w:rsid w:val="1C792541"/>
    <w:rsid w:val="1C8E0F8A"/>
    <w:rsid w:val="1CA922B8"/>
    <w:rsid w:val="1CA9707F"/>
    <w:rsid w:val="1CAB0A27"/>
    <w:rsid w:val="1CAF45AE"/>
    <w:rsid w:val="1CB90A89"/>
    <w:rsid w:val="1CBF0A4A"/>
    <w:rsid w:val="1CCD040E"/>
    <w:rsid w:val="1CD03E3F"/>
    <w:rsid w:val="1CD07C24"/>
    <w:rsid w:val="1CD54090"/>
    <w:rsid w:val="1CD759CE"/>
    <w:rsid w:val="1CDA45D0"/>
    <w:rsid w:val="1CF05C11"/>
    <w:rsid w:val="1D105193"/>
    <w:rsid w:val="1D213C3B"/>
    <w:rsid w:val="1D3201AE"/>
    <w:rsid w:val="1D4114F8"/>
    <w:rsid w:val="1D444755"/>
    <w:rsid w:val="1D44644B"/>
    <w:rsid w:val="1D461CCC"/>
    <w:rsid w:val="1D4D33F4"/>
    <w:rsid w:val="1D4F16B4"/>
    <w:rsid w:val="1D524637"/>
    <w:rsid w:val="1D56065D"/>
    <w:rsid w:val="1D5663DD"/>
    <w:rsid w:val="1D630517"/>
    <w:rsid w:val="1D7A3652"/>
    <w:rsid w:val="1D7B5070"/>
    <w:rsid w:val="1D9D1AE6"/>
    <w:rsid w:val="1DA13895"/>
    <w:rsid w:val="1DAE1331"/>
    <w:rsid w:val="1DBB25CC"/>
    <w:rsid w:val="1DBB7525"/>
    <w:rsid w:val="1DCF5A5A"/>
    <w:rsid w:val="1DE420DE"/>
    <w:rsid w:val="1DF3057C"/>
    <w:rsid w:val="1DF37992"/>
    <w:rsid w:val="1DFB0BA7"/>
    <w:rsid w:val="1E0875D5"/>
    <w:rsid w:val="1E1D21A3"/>
    <w:rsid w:val="1E1F157A"/>
    <w:rsid w:val="1E204728"/>
    <w:rsid w:val="1E231FDF"/>
    <w:rsid w:val="1E2E5C28"/>
    <w:rsid w:val="1E331146"/>
    <w:rsid w:val="1E3D1BE1"/>
    <w:rsid w:val="1E460AB8"/>
    <w:rsid w:val="1E477FC1"/>
    <w:rsid w:val="1E493237"/>
    <w:rsid w:val="1E494E87"/>
    <w:rsid w:val="1E4B127E"/>
    <w:rsid w:val="1E5C4EF0"/>
    <w:rsid w:val="1E5E5082"/>
    <w:rsid w:val="1E6106FE"/>
    <w:rsid w:val="1E63756A"/>
    <w:rsid w:val="1E643DE5"/>
    <w:rsid w:val="1E694BC4"/>
    <w:rsid w:val="1E6D573B"/>
    <w:rsid w:val="1E6E73D3"/>
    <w:rsid w:val="1E7229E4"/>
    <w:rsid w:val="1E787CCC"/>
    <w:rsid w:val="1E7B034A"/>
    <w:rsid w:val="1E7B1720"/>
    <w:rsid w:val="1E8F4D49"/>
    <w:rsid w:val="1E9D1F35"/>
    <w:rsid w:val="1E9D27F7"/>
    <w:rsid w:val="1E9E02C5"/>
    <w:rsid w:val="1EB27A60"/>
    <w:rsid w:val="1EB71AFD"/>
    <w:rsid w:val="1EC11CBE"/>
    <w:rsid w:val="1ED76EE9"/>
    <w:rsid w:val="1F037BB2"/>
    <w:rsid w:val="1F051DF4"/>
    <w:rsid w:val="1F121D73"/>
    <w:rsid w:val="1F1A2095"/>
    <w:rsid w:val="1F1C4A14"/>
    <w:rsid w:val="1F2A42AC"/>
    <w:rsid w:val="1F2A66C3"/>
    <w:rsid w:val="1F2C0745"/>
    <w:rsid w:val="1F2F5D36"/>
    <w:rsid w:val="1F437C7D"/>
    <w:rsid w:val="1F45619F"/>
    <w:rsid w:val="1F51524D"/>
    <w:rsid w:val="1F567822"/>
    <w:rsid w:val="1F5A3543"/>
    <w:rsid w:val="1F6B3656"/>
    <w:rsid w:val="1F885B68"/>
    <w:rsid w:val="1F946160"/>
    <w:rsid w:val="1FAA0F94"/>
    <w:rsid w:val="1FC93E1D"/>
    <w:rsid w:val="1FD15073"/>
    <w:rsid w:val="1FDC4FC2"/>
    <w:rsid w:val="1FE14BF2"/>
    <w:rsid w:val="1FE96875"/>
    <w:rsid w:val="1FF331B3"/>
    <w:rsid w:val="20015F3A"/>
    <w:rsid w:val="20016280"/>
    <w:rsid w:val="200A2E2D"/>
    <w:rsid w:val="2016572F"/>
    <w:rsid w:val="20173973"/>
    <w:rsid w:val="20183F0F"/>
    <w:rsid w:val="201A7D15"/>
    <w:rsid w:val="201E47A8"/>
    <w:rsid w:val="202F44B6"/>
    <w:rsid w:val="20345F47"/>
    <w:rsid w:val="20373A3F"/>
    <w:rsid w:val="20377C48"/>
    <w:rsid w:val="203A5ADD"/>
    <w:rsid w:val="203F46DA"/>
    <w:rsid w:val="20506B63"/>
    <w:rsid w:val="20525015"/>
    <w:rsid w:val="20597A56"/>
    <w:rsid w:val="205E527E"/>
    <w:rsid w:val="206F522B"/>
    <w:rsid w:val="2083371E"/>
    <w:rsid w:val="208F4D31"/>
    <w:rsid w:val="20A576F9"/>
    <w:rsid w:val="20A877EF"/>
    <w:rsid w:val="20B22B7D"/>
    <w:rsid w:val="20B3443D"/>
    <w:rsid w:val="20B47001"/>
    <w:rsid w:val="20B63B6C"/>
    <w:rsid w:val="20B8109B"/>
    <w:rsid w:val="20BD2532"/>
    <w:rsid w:val="20D56821"/>
    <w:rsid w:val="20DE29FD"/>
    <w:rsid w:val="20E81D67"/>
    <w:rsid w:val="20FB159D"/>
    <w:rsid w:val="20FE2235"/>
    <w:rsid w:val="20FF6A9A"/>
    <w:rsid w:val="21083BC2"/>
    <w:rsid w:val="211922BB"/>
    <w:rsid w:val="213E4872"/>
    <w:rsid w:val="21430611"/>
    <w:rsid w:val="21437D9E"/>
    <w:rsid w:val="21446E92"/>
    <w:rsid w:val="214621E3"/>
    <w:rsid w:val="215660CC"/>
    <w:rsid w:val="216D3CE9"/>
    <w:rsid w:val="21794A94"/>
    <w:rsid w:val="21842D94"/>
    <w:rsid w:val="21A32B19"/>
    <w:rsid w:val="21AD272C"/>
    <w:rsid w:val="21B17741"/>
    <w:rsid w:val="21B6475C"/>
    <w:rsid w:val="21BA6D6D"/>
    <w:rsid w:val="21C36D27"/>
    <w:rsid w:val="21D669E7"/>
    <w:rsid w:val="21DF0B49"/>
    <w:rsid w:val="21EA77D6"/>
    <w:rsid w:val="21F63C62"/>
    <w:rsid w:val="21FC1E35"/>
    <w:rsid w:val="21FE7D0C"/>
    <w:rsid w:val="220E6753"/>
    <w:rsid w:val="221C0772"/>
    <w:rsid w:val="221E0053"/>
    <w:rsid w:val="22265D9A"/>
    <w:rsid w:val="223F5C06"/>
    <w:rsid w:val="224E6DC3"/>
    <w:rsid w:val="226730C0"/>
    <w:rsid w:val="226C52AF"/>
    <w:rsid w:val="227B36F8"/>
    <w:rsid w:val="227F6FF1"/>
    <w:rsid w:val="22907339"/>
    <w:rsid w:val="22AF0D77"/>
    <w:rsid w:val="22B2007B"/>
    <w:rsid w:val="22B95705"/>
    <w:rsid w:val="22CB72D1"/>
    <w:rsid w:val="22E178ED"/>
    <w:rsid w:val="22E22A4D"/>
    <w:rsid w:val="22ED6462"/>
    <w:rsid w:val="22F348CD"/>
    <w:rsid w:val="22F45FCF"/>
    <w:rsid w:val="22FC06A5"/>
    <w:rsid w:val="22FF7761"/>
    <w:rsid w:val="23020FDB"/>
    <w:rsid w:val="230E06A4"/>
    <w:rsid w:val="231C3441"/>
    <w:rsid w:val="23293EB6"/>
    <w:rsid w:val="232F3849"/>
    <w:rsid w:val="2337774B"/>
    <w:rsid w:val="23481B63"/>
    <w:rsid w:val="2351290E"/>
    <w:rsid w:val="23591063"/>
    <w:rsid w:val="235A0F1A"/>
    <w:rsid w:val="235D323C"/>
    <w:rsid w:val="23656399"/>
    <w:rsid w:val="23665294"/>
    <w:rsid w:val="236C281B"/>
    <w:rsid w:val="2372532F"/>
    <w:rsid w:val="23823682"/>
    <w:rsid w:val="238E318C"/>
    <w:rsid w:val="23906450"/>
    <w:rsid w:val="23A420F7"/>
    <w:rsid w:val="23AE59CB"/>
    <w:rsid w:val="23BE70A9"/>
    <w:rsid w:val="23C75EE5"/>
    <w:rsid w:val="23D24679"/>
    <w:rsid w:val="23D66441"/>
    <w:rsid w:val="23D75C2D"/>
    <w:rsid w:val="23DD3188"/>
    <w:rsid w:val="23DD3E5B"/>
    <w:rsid w:val="23E45141"/>
    <w:rsid w:val="23E50DFE"/>
    <w:rsid w:val="23E554E6"/>
    <w:rsid w:val="23E7391D"/>
    <w:rsid w:val="23FD3354"/>
    <w:rsid w:val="24042CD6"/>
    <w:rsid w:val="24197D2E"/>
    <w:rsid w:val="24286D04"/>
    <w:rsid w:val="242A5864"/>
    <w:rsid w:val="24336302"/>
    <w:rsid w:val="243946CC"/>
    <w:rsid w:val="243B2B90"/>
    <w:rsid w:val="243E25C8"/>
    <w:rsid w:val="244357BA"/>
    <w:rsid w:val="244B70E2"/>
    <w:rsid w:val="244C4B42"/>
    <w:rsid w:val="24507087"/>
    <w:rsid w:val="245844B3"/>
    <w:rsid w:val="245C6A2E"/>
    <w:rsid w:val="24604C2F"/>
    <w:rsid w:val="24644E87"/>
    <w:rsid w:val="2481176D"/>
    <w:rsid w:val="248357B6"/>
    <w:rsid w:val="248F0601"/>
    <w:rsid w:val="24936440"/>
    <w:rsid w:val="249B068F"/>
    <w:rsid w:val="24A413AE"/>
    <w:rsid w:val="24A44327"/>
    <w:rsid w:val="24B51507"/>
    <w:rsid w:val="24B80DE9"/>
    <w:rsid w:val="24C57038"/>
    <w:rsid w:val="24D04101"/>
    <w:rsid w:val="24D96306"/>
    <w:rsid w:val="24E35E5C"/>
    <w:rsid w:val="24E828A2"/>
    <w:rsid w:val="25040357"/>
    <w:rsid w:val="25063BFD"/>
    <w:rsid w:val="25106D5A"/>
    <w:rsid w:val="25151810"/>
    <w:rsid w:val="25152110"/>
    <w:rsid w:val="252D01A0"/>
    <w:rsid w:val="252E024E"/>
    <w:rsid w:val="25311E5F"/>
    <w:rsid w:val="25355E09"/>
    <w:rsid w:val="254A39C3"/>
    <w:rsid w:val="254E4445"/>
    <w:rsid w:val="255A481F"/>
    <w:rsid w:val="255A738A"/>
    <w:rsid w:val="255F3BF4"/>
    <w:rsid w:val="25615BCD"/>
    <w:rsid w:val="25681E17"/>
    <w:rsid w:val="256E25F1"/>
    <w:rsid w:val="25710315"/>
    <w:rsid w:val="25906723"/>
    <w:rsid w:val="25945D6C"/>
    <w:rsid w:val="25977732"/>
    <w:rsid w:val="259D1744"/>
    <w:rsid w:val="25A53EFD"/>
    <w:rsid w:val="25B077EB"/>
    <w:rsid w:val="25B71138"/>
    <w:rsid w:val="25B739AB"/>
    <w:rsid w:val="25B75D13"/>
    <w:rsid w:val="25B85F00"/>
    <w:rsid w:val="25B94588"/>
    <w:rsid w:val="25BA537D"/>
    <w:rsid w:val="25BD4B64"/>
    <w:rsid w:val="25BF253F"/>
    <w:rsid w:val="25C20919"/>
    <w:rsid w:val="25C23B37"/>
    <w:rsid w:val="25C3378A"/>
    <w:rsid w:val="25D74F8A"/>
    <w:rsid w:val="25F56D19"/>
    <w:rsid w:val="25FA1C70"/>
    <w:rsid w:val="2607382C"/>
    <w:rsid w:val="260C0043"/>
    <w:rsid w:val="260E742C"/>
    <w:rsid w:val="260F285E"/>
    <w:rsid w:val="260F3540"/>
    <w:rsid w:val="261439A5"/>
    <w:rsid w:val="261F39EA"/>
    <w:rsid w:val="26272FC8"/>
    <w:rsid w:val="262A36A9"/>
    <w:rsid w:val="26325599"/>
    <w:rsid w:val="26335014"/>
    <w:rsid w:val="26350991"/>
    <w:rsid w:val="263B12C0"/>
    <w:rsid w:val="263E6B2A"/>
    <w:rsid w:val="264F6ED3"/>
    <w:rsid w:val="2652631A"/>
    <w:rsid w:val="265A069A"/>
    <w:rsid w:val="26682B79"/>
    <w:rsid w:val="26734082"/>
    <w:rsid w:val="26762EF3"/>
    <w:rsid w:val="267B51E2"/>
    <w:rsid w:val="26A97283"/>
    <w:rsid w:val="26B21559"/>
    <w:rsid w:val="26B908EF"/>
    <w:rsid w:val="26C4631E"/>
    <w:rsid w:val="26DC2E90"/>
    <w:rsid w:val="26E67B52"/>
    <w:rsid w:val="26EF61D7"/>
    <w:rsid w:val="26F50D5B"/>
    <w:rsid w:val="270D1D4F"/>
    <w:rsid w:val="270E63FD"/>
    <w:rsid w:val="270F5784"/>
    <w:rsid w:val="27111098"/>
    <w:rsid w:val="271559EC"/>
    <w:rsid w:val="27165DCC"/>
    <w:rsid w:val="27187EB6"/>
    <w:rsid w:val="27220804"/>
    <w:rsid w:val="273201F7"/>
    <w:rsid w:val="275E3E10"/>
    <w:rsid w:val="275F19A0"/>
    <w:rsid w:val="27603225"/>
    <w:rsid w:val="2762286C"/>
    <w:rsid w:val="276E20C0"/>
    <w:rsid w:val="277B1DAD"/>
    <w:rsid w:val="2782206A"/>
    <w:rsid w:val="27905244"/>
    <w:rsid w:val="279126CD"/>
    <w:rsid w:val="27962D54"/>
    <w:rsid w:val="2799658F"/>
    <w:rsid w:val="279B0C2A"/>
    <w:rsid w:val="279B6E24"/>
    <w:rsid w:val="27AC0928"/>
    <w:rsid w:val="27AC7A02"/>
    <w:rsid w:val="27C8509B"/>
    <w:rsid w:val="27CE121D"/>
    <w:rsid w:val="27CF725A"/>
    <w:rsid w:val="27D8245E"/>
    <w:rsid w:val="27DB6E65"/>
    <w:rsid w:val="27DE3070"/>
    <w:rsid w:val="27DF01D5"/>
    <w:rsid w:val="27E33F0A"/>
    <w:rsid w:val="27EF7938"/>
    <w:rsid w:val="27F070DC"/>
    <w:rsid w:val="27F224C6"/>
    <w:rsid w:val="27F54ACB"/>
    <w:rsid w:val="27F61674"/>
    <w:rsid w:val="27F75753"/>
    <w:rsid w:val="27F91277"/>
    <w:rsid w:val="27FB22F2"/>
    <w:rsid w:val="28083900"/>
    <w:rsid w:val="2825367D"/>
    <w:rsid w:val="2826115F"/>
    <w:rsid w:val="282F78AD"/>
    <w:rsid w:val="28423B4D"/>
    <w:rsid w:val="28507CDA"/>
    <w:rsid w:val="28532E6F"/>
    <w:rsid w:val="285B443E"/>
    <w:rsid w:val="285B6F79"/>
    <w:rsid w:val="285D1D01"/>
    <w:rsid w:val="286554BC"/>
    <w:rsid w:val="28664C40"/>
    <w:rsid w:val="28687B6A"/>
    <w:rsid w:val="286B558E"/>
    <w:rsid w:val="28715F10"/>
    <w:rsid w:val="287F21DC"/>
    <w:rsid w:val="2880389E"/>
    <w:rsid w:val="288838BE"/>
    <w:rsid w:val="288B31D5"/>
    <w:rsid w:val="28947941"/>
    <w:rsid w:val="28962598"/>
    <w:rsid w:val="289D5340"/>
    <w:rsid w:val="28A4629F"/>
    <w:rsid w:val="28BF72F1"/>
    <w:rsid w:val="28C4032F"/>
    <w:rsid w:val="28C571B3"/>
    <w:rsid w:val="28C67C64"/>
    <w:rsid w:val="28C739EF"/>
    <w:rsid w:val="28D650A9"/>
    <w:rsid w:val="28E90040"/>
    <w:rsid w:val="28EE0FEB"/>
    <w:rsid w:val="28FE0602"/>
    <w:rsid w:val="290630EB"/>
    <w:rsid w:val="29075AB6"/>
    <w:rsid w:val="290859E6"/>
    <w:rsid w:val="290C57B8"/>
    <w:rsid w:val="290E7873"/>
    <w:rsid w:val="291017E1"/>
    <w:rsid w:val="291A7AFF"/>
    <w:rsid w:val="29201757"/>
    <w:rsid w:val="29210377"/>
    <w:rsid w:val="29292C68"/>
    <w:rsid w:val="292A1473"/>
    <w:rsid w:val="292B5669"/>
    <w:rsid w:val="293109CA"/>
    <w:rsid w:val="29361B4A"/>
    <w:rsid w:val="29387915"/>
    <w:rsid w:val="295B0537"/>
    <w:rsid w:val="296B3782"/>
    <w:rsid w:val="296C0526"/>
    <w:rsid w:val="2976153E"/>
    <w:rsid w:val="2976422B"/>
    <w:rsid w:val="29770DF8"/>
    <w:rsid w:val="29804282"/>
    <w:rsid w:val="29892A48"/>
    <w:rsid w:val="298A7A73"/>
    <w:rsid w:val="298B2893"/>
    <w:rsid w:val="299A19C2"/>
    <w:rsid w:val="29B107CB"/>
    <w:rsid w:val="29BA586D"/>
    <w:rsid w:val="29BE78B6"/>
    <w:rsid w:val="29DF4C6B"/>
    <w:rsid w:val="29E02EFF"/>
    <w:rsid w:val="29FF6AEC"/>
    <w:rsid w:val="2A1119BD"/>
    <w:rsid w:val="2A1B09A7"/>
    <w:rsid w:val="2A1E1FED"/>
    <w:rsid w:val="2A2468F4"/>
    <w:rsid w:val="2A291340"/>
    <w:rsid w:val="2A302748"/>
    <w:rsid w:val="2A313FD8"/>
    <w:rsid w:val="2A3C6C16"/>
    <w:rsid w:val="2A405DCF"/>
    <w:rsid w:val="2A471409"/>
    <w:rsid w:val="2A624AB9"/>
    <w:rsid w:val="2A656271"/>
    <w:rsid w:val="2A666A78"/>
    <w:rsid w:val="2A692E61"/>
    <w:rsid w:val="2A714957"/>
    <w:rsid w:val="2A7232D7"/>
    <w:rsid w:val="2A7C05A7"/>
    <w:rsid w:val="2A7F62E3"/>
    <w:rsid w:val="2A813A71"/>
    <w:rsid w:val="2A905E97"/>
    <w:rsid w:val="2A95523A"/>
    <w:rsid w:val="2A9B26D0"/>
    <w:rsid w:val="2A9F08D1"/>
    <w:rsid w:val="2AA83A3F"/>
    <w:rsid w:val="2AB2320F"/>
    <w:rsid w:val="2ABF1D3F"/>
    <w:rsid w:val="2AC000FB"/>
    <w:rsid w:val="2AC264EE"/>
    <w:rsid w:val="2ACA0D0E"/>
    <w:rsid w:val="2AD5268F"/>
    <w:rsid w:val="2AEA4D0C"/>
    <w:rsid w:val="2AF11577"/>
    <w:rsid w:val="2AF50C32"/>
    <w:rsid w:val="2AF6529B"/>
    <w:rsid w:val="2B013B20"/>
    <w:rsid w:val="2B1256A1"/>
    <w:rsid w:val="2B21394F"/>
    <w:rsid w:val="2B21691B"/>
    <w:rsid w:val="2B290181"/>
    <w:rsid w:val="2B2916E7"/>
    <w:rsid w:val="2B2C73D4"/>
    <w:rsid w:val="2B305C78"/>
    <w:rsid w:val="2B344980"/>
    <w:rsid w:val="2B385F30"/>
    <w:rsid w:val="2B3A39CA"/>
    <w:rsid w:val="2B3E7EE5"/>
    <w:rsid w:val="2B4222ED"/>
    <w:rsid w:val="2B532AC4"/>
    <w:rsid w:val="2B555E25"/>
    <w:rsid w:val="2B5D3D5F"/>
    <w:rsid w:val="2B654038"/>
    <w:rsid w:val="2B6E0F50"/>
    <w:rsid w:val="2B7102A7"/>
    <w:rsid w:val="2B7B7348"/>
    <w:rsid w:val="2B8A0D5B"/>
    <w:rsid w:val="2B8C30E0"/>
    <w:rsid w:val="2B9119F2"/>
    <w:rsid w:val="2B97563A"/>
    <w:rsid w:val="2B9942DF"/>
    <w:rsid w:val="2BAD343A"/>
    <w:rsid w:val="2BAD3AC5"/>
    <w:rsid w:val="2BB06E8D"/>
    <w:rsid w:val="2BB43D0C"/>
    <w:rsid w:val="2BBE3C36"/>
    <w:rsid w:val="2BBF3D45"/>
    <w:rsid w:val="2BC350FC"/>
    <w:rsid w:val="2BC53F3F"/>
    <w:rsid w:val="2BD472B9"/>
    <w:rsid w:val="2BE60559"/>
    <w:rsid w:val="2BFF6D7B"/>
    <w:rsid w:val="2C021999"/>
    <w:rsid w:val="2C09309A"/>
    <w:rsid w:val="2C1873B2"/>
    <w:rsid w:val="2C216CEA"/>
    <w:rsid w:val="2C2378D1"/>
    <w:rsid w:val="2C25780E"/>
    <w:rsid w:val="2C2C0FEE"/>
    <w:rsid w:val="2C2F7C1E"/>
    <w:rsid w:val="2C325AE8"/>
    <w:rsid w:val="2C366807"/>
    <w:rsid w:val="2C4D35A1"/>
    <w:rsid w:val="2C6205EF"/>
    <w:rsid w:val="2C6465D8"/>
    <w:rsid w:val="2C6619A5"/>
    <w:rsid w:val="2C68733C"/>
    <w:rsid w:val="2C697645"/>
    <w:rsid w:val="2C967771"/>
    <w:rsid w:val="2CAC1CDC"/>
    <w:rsid w:val="2CBC72B7"/>
    <w:rsid w:val="2CCC623B"/>
    <w:rsid w:val="2CD11468"/>
    <w:rsid w:val="2CD72673"/>
    <w:rsid w:val="2CD73DEC"/>
    <w:rsid w:val="2CDA4AEB"/>
    <w:rsid w:val="2CEA640A"/>
    <w:rsid w:val="2CEC2A2D"/>
    <w:rsid w:val="2CEC7591"/>
    <w:rsid w:val="2CF220FC"/>
    <w:rsid w:val="2CF25EBD"/>
    <w:rsid w:val="2CF539DE"/>
    <w:rsid w:val="2CF57A86"/>
    <w:rsid w:val="2CFB5FDB"/>
    <w:rsid w:val="2D014079"/>
    <w:rsid w:val="2D015FD7"/>
    <w:rsid w:val="2D132113"/>
    <w:rsid w:val="2D1E3DD0"/>
    <w:rsid w:val="2D2A2F93"/>
    <w:rsid w:val="2D2B6EDC"/>
    <w:rsid w:val="2D2D2B31"/>
    <w:rsid w:val="2D306FF5"/>
    <w:rsid w:val="2D362FA6"/>
    <w:rsid w:val="2D6510C1"/>
    <w:rsid w:val="2D680962"/>
    <w:rsid w:val="2D6B19FB"/>
    <w:rsid w:val="2D6F48DE"/>
    <w:rsid w:val="2D796A75"/>
    <w:rsid w:val="2D8106C7"/>
    <w:rsid w:val="2D820B90"/>
    <w:rsid w:val="2D846026"/>
    <w:rsid w:val="2D86624A"/>
    <w:rsid w:val="2D94414C"/>
    <w:rsid w:val="2DA20A64"/>
    <w:rsid w:val="2DB0643B"/>
    <w:rsid w:val="2DB10E4B"/>
    <w:rsid w:val="2DC618B4"/>
    <w:rsid w:val="2DC620F5"/>
    <w:rsid w:val="2DC95FF2"/>
    <w:rsid w:val="2DD75859"/>
    <w:rsid w:val="2DF732DE"/>
    <w:rsid w:val="2E1F07F7"/>
    <w:rsid w:val="2E236874"/>
    <w:rsid w:val="2E247A70"/>
    <w:rsid w:val="2E2C0452"/>
    <w:rsid w:val="2E2F32EB"/>
    <w:rsid w:val="2E337103"/>
    <w:rsid w:val="2E3F6E03"/>
    <w:rsid w:val="2E41793F"/>
    <w:rsid w:val="2E4C4308"/>
    <w:rsid w:val="2E507221"/>
    <w:rsid w:val="2E5E71A5"/>
    <w:rsid w:val="2E5F033A"/>
    <w:rsid w:val="2E6E3321"/>
    <w:rsid w:val="2E75470F"/>
    <w:rsid w:val="2E76046C"/>
    <w:rsid w:val="2E7B74D0"/>
    <w:rsid w:val="2E845CA2"/>
    <w:rsid w:val="2E893DA2"/>
    <w:rsid w:val="2E9272CC"/>
    <w:rsid w:val="2EA54C29"/>
    <w:rsid w:val="2EAA0A81"/>
    <w:rsid w:val="2EAA3251"/>
    <w:rsid w:val="2EB26B05"/>
    <w:rsid w:val="2EC3709F"/>
    <w:rsid w:val="2EC47577"/>
    <w:rsid w:val="2ECA70FB"/>
    <w:rsid w:val="2ECE2F51"/>
    <w:rsid w:val="2ED10106"/>
    <w:rsid w:val="2ED23BD8"/>
    <w:rsid w:val="2EDA6686"/>
    <w:rsid w:val="2EDE4B3F"/>
    <w:rsid w:val="2EE0073D"/>
    <w:rsid w:val="2EE133B5"/>
    <w:rsid w:val="2EEC5C9F"/>
    <w:rsid w:val="2EF05A9D"/>
    <w:rsid w:val="2F0033D3"/>
    <w:rsid w:val="2F0728A3"/>
    <w:rsid w:val="2F0B441B"/>
    <w:rsid w:val="2F0D2646"/>
    <w:rsid w:val="2F1409A6"/>
    <w:rsid w:val="2F180FA7"/>
    <w:rsid w:val="2F1F2B98"/>
    <w:rsid w:val="2F2249DD"/>
    <w:rsid w:val="2F2B6FA1"/>
    <w:rsid w:val="2F367CF4"/>
    <w:rsid w:val="2F4558DE"/>
    <w:rsid w:val="2F486BF0"/>
    <w:rsid w:val="2F4F63BF"/>
    <w:rsid w:val="2F735CA3"/>
    <w:rsid w:val="2F76124D"/>
    <w:rsid w:val="2F7E76C1"/>
    <w:rsid w:val="2F8241E4"/>
    <w:rsid w:val="2F883258"/>
    <w:rsid w:val="2F9152D2"/>
    <w:rsid w:val="2F952845"/>
    <w:rsid w:val="2F975BB1"/>
    <w:rsid w:val="2FA34A9C"/>
    <w:rsid w:val="2FA93EBB"/>
    <w:rsid w:val="2FDE0E79"/>
    <w:rsid w:val="2FEB485E"/>
    <w:rsid w:val="2FED7326"/>
    <w:rsid w:val="2FEF33A7"/>
    <w:rsid w:val="2FF92D3A"/>
    <w:rsid w:val="2FFC3113"/>
    <w:rsid w:val="30060E01"/>
    <w:rsid w:val="3006124E"/>
    <w:rsid w:val="300A59D4"/>
    <w:rsid w:val="300E1572"/>
    <w:rsid w:val="30104C59"/>
    <w:rsid w:val="3015526C"/>
    <w:rsid w:val="30167CD1"/>
    <w:rsid w:val="301810A6"/>
    <w:rsid w:val="301B6D19"/>
    <w:rsid w:val="301E0E4E"/>
    <w:rsid w:val="301F6BC5"/>
    <w:rsid w:val="30284BD1"/>
    <w:rsid w:val="302F3C6C"/>
    <w:rsid w:val="302F642F"/>
    <w:rsid w:val="30487E62"/>
    <w:rsid w:val="30513750"/>
    <w:rsid w:val="3052586F"/>
    <w:rsid w:val="305335DB"/>
    <w:rsid w:val="305B35BF"/>
    <w:rsid w:val="305D1A21"/>
    <w:rsid w:val="305E345B"/>
    <w:rsid w:val="30607A7D"/>
    <w:rsid w:val="3062174A"/>
    <w:rsid w:val="30680F88"/>
    <w:rsid w:val="3072666E"/>
    <w:rsid w:val="307358C8"/>
    <w:rsid w:val="307F061E"/>
    <w:rsid w:val="30887B99"/>
    <w:rsid w:val="3098694B"/>
    <w:rsid w:val="309B0BD0"/>
    <w:rsid w:val="30A86E6F"/>
    <w:rsid w:val="30AB5A5F"/>
    <w:rsid w:val="30AC5C22"/>
    <w:rsid w:val="30BA02DB"/>
    <w:rsid w:val="30BF20BA"/>
    <w:rsid w:val="30C03C74"/>
    <w:rsid w:val="30C84EB6"/>
    <w:rsid w:val="30E15DC6"/>
    <w:rsid w:val="30E9244F"/>
    <w:rsid w:val="30EE176F"/>
    <w:rsid w:val="30F11D0D"/>
    <w:rsid w:val="30F40E92"/>
    <w:rsid w:val="30F7740C"/>
    <w:rsid w:val="30FA5E46"/>
    <w:rsid w:val="310B59DC"/>
    <w:rsid w:val="31182D58"/>
    <w:rsid w:val="311D6043"/>
    <w:rsid w:val="3120328B"/>
    <w:rsid w:val="313C20D0"/>
    <w:rsid w:val="31440FB7"/>
    <w:rsid w:val="314824A5"/>
    <w:rsid w:val="314A28CE"/>
    <w:rsid w:val="314C346B"/>
    <w:rsid w:val="314E7DBB"/>
    <w:rsid w:val="315548AE"/>
    <w:rsid w:val="315D295F"/>
    <w:rsid w:val="31603F47"/>
    <w:rsid w:val="3167339C"/>
    <w:rsid w:val="31833399"/>
    <w:rsid w:val="31837425"/>
    <w:rsid w:val="31963285"/>
    <w:rsid w:val="319F38AD"/>
    <w:rsid w:val="31A61479"/>
    <w:rsid w:val="31AA1E8D"/>
    <w:rsid w:val="31AD7ABB"/>
    <w:rsid w:val="31AE4950"/>
    <w:rsid w:val="31B232F3"/>
    <w:rsid w:val="31BF52C7"/>
    <w:rsid w:val="31CE7ACC"/>
    <w:rsid w:val="31D643EC"/>
    <w:rsid w:val="31D66215"/>
    <w:rsid w:val="31D712D6"/>
    <w:rsid w:val="31DD2BA3"/>
    <w:rsid w:val="31E6401B"/>
    <w:rsid w:val="31E6507C"/>
    <w:rsid w:val="31E72297"/>
    <w:rsid w:val="31F240E0"/>
    <w:rsid w:val="31F32984"/>
    <w:rsid w:val="320544D6"/>
    <w:rsid w:val="320664A1"/>
    <w:rsid w:val="320A07D5"/>
    <w:rsid w:val="320F6705"/>
    <w:rsid w:val="321031DC"/>
    <w:rsid w:val="32143AA2"/>
    <w:rsid w:val="322079FE"/>
    <w:rsid w:val="3222237C"/>
    <w:rsid w:val="32225CA9"/>
    <w:rsid w:val="322A44F2"/>
    <w:rsid w:val="322E1AD9"/>
    <w:rsid w:val="323F6674"/>
    <w:rsid w:val="32512F3D"/>
    <w:rsid w:val="32554FC7"/>
    <w:rsid w:val="325D3EB5"/>
    <w:rsid w:val="325F4584"/>
    <w:rsid w:val="326048AB"/>
    <w:rsid w:val="32653608"/>
    <w:rsid w:val="326A146F"/>
    <w:rsid w:val="326D050E"/>
    <w:rsid w:val="327540DC"/>
    <w:rsid w:val="32767BCC"/>
    <w:rsid w:val="32797881"/>
    <w:rsid w:val="329548FF"/>
    <w:rsid w:val="32A1301E"/>
    <w:rsid w:val="32A17613"/>
    <w:rsid w:val="32A20284"/>
    <w:rsid w:val="32B04276"/>
    <w:rsid w:val="32B31274"/>
    <w:rsid w:val="32B71119"/>
    <w:rsid w:val="32BB2178"/>
    <w:rsid w:val="32D0275A"/>
    <w:rsid w:val="32DF4AA9"/>
    <w:rsid w:val="32E046A8"/>
    <w:rsid w:val="32EF2DC0"/>
    <w:rsid w:val="32F62330"/>
    <w:rsid w:val="32F8425B"/>
    <w:rsid w:val="32FA6650"/>
    <w:rsid w:val="33101336"/>
    <w:rsid w:val="33125B84"/>
    <w:rsid w:val="33167FC7"/>
    <w:rsid w:val="331F564E"/>
    <w:rsid w:val="3329365C"/>
    <w:rsid w:val="33316EFD"/>
    <w:rsid w:val="33375C4E"/>
    <w:rsid w:val="333A5458"/>
    <w:rsid w:val="333F45DE"/>
    <w:rsid w:val="334078A1"/>
    <w:rsid w:val="3344205F"/>
    <w:rsid w:val="334B4B30"/>
    <w:rsid w:val="334E5808"/>
    <w:rsid w:val="3355252B"/>
    <w:rsid w:val="33586590"/>
    <w:rsid w:val="33595371"/>
    <w:rsid w:val="33677CFA"/>
    <w:rsid w:val="338045A2"/>
    <w:rsid w:val="338061E0"/>
    <w:rsid w:val="338143ED"/>
    <w:rsid w:val="33822F1B"/>
    <w:rsid w:val="339D2981"/>
    <w:rsid w:val="339E4FF5"/>
    <w:rsid w:val="33A02EE3"/>
    <w:rsid w:val="33A23F0D"/>
    <w:rsid w:val="33A464F2"/>
    <w:rsid w:val="33AA2D5D"/>
    <w:rsid w:val="33AA33FD"/>
    <w:rsid w:val="33AA6D9E"/>
    <w:rsid w:val="33B73AA1"/>
    <w:rsid w:val="33C014B8"/>
    <w:rsid w:val="33C1567C"/>
    <w:rsid w:val="33D259EA"/>
    <w:rsid w:val="33D916E1"/>
    <w:rsid w:val="33EC53E3"/>
    <w:rsid w:val="33ED5541"/>
    <w:rsid w:val="33F82AD7"/>
    <w:rsid w:val="33FA1DFC"/>
    <w:rsid w:val="34065DA7"/>
    <w:rsid w:val="3408505D"/>
    <w:rsid w:val="341D70DB"/>
    <w:rsid w:val="341E4244"/>
    <w:rsid w:val="34221CAB"/>
    <w:rsid w:val="3433636E"/>
    <w:rsid w:val="3443066D"/>
    <w:rsid w:val="34450A79"/>
    <w:rsid w:val="344B7E7C"/>
    <w:rsid w:val="344E18C9"/>
    <w:rsid w:val="344F33C1"/>
    <w:rsid w:val="3465042F"/>
    <w:rsid w:val="347069E4"/>
    <w:rsid w:val="34766E7E"/>
    <w:rsid w:val="347D197B"/>
    <w:rsid w:val="348115A4"/>
    <w:rsid w:val="3481698C"/>
    <w:rsid w:val="348871E8"/>
    <w:rsid w:val="348B5AD1"/>
    <w:rsid w:val="348F3779"/>
    <w:rsid w:val="349C34BA"/>
    <w:rsid w:val="349D0456"/>
    <w:rsid w:val="34A3644C"/>
    <w:rsid w:val="34A90914"/>
    <w:rsid w:val="34B57BFE"/>
    <w:rsid w:val="34B74E95"/>
    <w:rsid w:val="34BE080A"/>
    <w:rsid w:val="34BE1CBB"/>
    <w:rsid w:val="34C21C4E"/>
    <w:rsid w:val="34C304A9"/>
    <w:rsid w:val="34C80348"/>
    <w:rsid w:val="34CE78B3"/>
    <w:rsid w:val="34D044CE"/>
    <w:rsid w:val="34D0727D"/>
    <w:rsid w:val="34DB2A51"/>
    <w:rsid w:val="34E75AD3"/>
    <w:rsid w:val="34EE724B"/>
    <w:rsid w:val="35121556"/>
    <w:rsid w:val="351506CB"/>
    <w:rsid w:val="35174439"/>
    <w:rsid w:val="35174E5F"/>
    <w:rsid w:val="352C398B"/>
    <w:rsid w:val="35304BFC"/>
    <w:rsid w:val="35342CCA"/>
    <w:rsid w:val="35390BDE"/>
    <w:rsid w:val="35391F15"/>
    <w:rsid w:val="354E4D83"/>
    <w:rsid w:val="355A7665"/>
    <w:rsid w:val="356E583E"/>
    <w:rsid w:val="357154D1"/>
    <w:rsid w:val="35774367"/>
    <w:rsid w:val="357F6572"/>
    <w:rsid w:val="358D10B1"/>
    <w:rsid w:val="359A274C"/>
    <w:rsid w:val="359F7BDA"/>
    <w:rsid w:val="35B23F57"/>
    <w:rsid w:val="35C47C60"/>
    <w:rsid w:val="35D22475"/>
    <w:rsid w:val="35DE08AB"/>
    <w:rsid w:val="35E610FF"/>
    <w:rsid w:val="35E73564"/>
    <w:rsid w:val="35F40534"/>
    <w:rsid w:val="35F5619A"/>
    <w:rsid w:val="35F66D41"/>
    <w:rsid w:val="35F75C0F"/>
    <w:rsid w:val="35F80FC8"/>
    <w:rsid w:val="35FB503F"/>
    <w:rsid w:val="36025437"/>
    <w:rsid w:val="36055075"/>
    <w:rsid w:val="36075DF9"/>
    <w:rsid w:val="360F7F53"/>
    <w:rsid w:val="361B7A7F"/>
    <w:rsid w:val="36384468"/>
    <w:rsid w:val="365A77E3"/>
    <w:rsid w:val="36715489"/>
    <w:rsid w:val="36845533"/>
    <w:rsid w:val="3692269B"/>
    <w:rsid w:val="369D53C5"/>
    <w:rsid w:val="36A515BD"/>
    <w:rsid w:val="36A6100F"/>
    <w:rsid w:val="36AB3AE1"/>
    <w:rsid w:val="36AF6E15"/>
    <w:rsid w:val="36B94538"/>
    <w:rsid w:val="36B9491C"/>
    <w:rsid w:val="36C807E4"/>
    <w:rsid w:val="36D91DEB"/>
    <w:rsid w:val="36DD0E09"/>
    <w:rsid w:val="36EE28CB"/>
    <w:rsid w:val="36F50E28"/>
    <w:rsid w:val="370305C2"/>
    <w:rsid w:val="370958D4"/>
    <w:rsid w:val="370A5577"/>
    <w:rsid w:val="37164CC2"/>
    <w:rsid w:val="3725034D"/>
    <w:rsid w:val="372A0948"/>
    <w:rsid w:val="373152A2"/>
    <w:rsid w:val="3745354A"/>
    <w:rsid w:val="374F522A"/>
    <w:rsid w:val="375D0DE2"/>
    <w:rsid w:val="376D01C9"/>
    <w:rsid w:val="377C7CD6"/>
    <w:rsid w:val="377F5BDC"/>
    <w:rsid w:val="378A47E3"/>
    <w:rsid w:val="378B55E3"/>
    <w:rsid w:val="37971E07"/>
    <w:rsid w:val="379D5550"/>
    <w:rsid w:val="379F46CC"/>
    <w:rsid w:val="37C61AC8"/>
    <w:rsid w:val="37C6415D"/>
    <w:rsid w:val="37E9436B"/>
    <w:rsid w:val="37EA5462"/>
    <w:rsid w:val="37F25633"/>
    <w:rsid w:val="37F62B52"/>
    <w:rsid w:val="3801048A"/>
    <w:rsid w:val="38096799"/>
    <w:rsid w:val="38277A2D"/>
    <w:rsid w:val="382E0B53"/>
    <w:rsid w:val="383104A8"/>
    <w:rsid w:val="38372AB9"/>
    <w:rsid w:val="384240F5"/>
    <w:rsid w:val="384A179A"/>
    <w:rsid w:val="38534120"/>
    <w:rsid w:val="385819D6"/>
    <w:rsid w:val="385F15B9"/>
    <w:rsid w:val="38600923"/>
    <w:rsid w:val="38632B09"/>
    <w:rsid w:val="38683C60"/>
    <w:rsid w:val="387B3B02"/>
    <w:rsid w:val="388645D9"/>
    <w:rsid w:val="388A0D6C"/>
    <w:rsid w:val="389453EA"/>
    <w:rsid w:val="389C733F"/>
    <w:rsid w:val="38B3582F"/>
    <w:rsid w:val="38BE64C4"/>
    <w:rsid w:val="38C25C88"/>
    <w:rsid w:val="38CB3EB0"/>
    <w:rsid w:val="38D6407C"/>
    <w:rsid w:val="38E4629D"/>
    <w:rsid w:val="38ED35DB"/>
    <w:rsid w:val="3902057C"/>
    <w:rsid w:val="39041422"/>
    <w:rsid w:val="39050BD7"/>
    <w:rsid w:val="390B7DEE"/>
    <w:rsid w:val="39161457"/>
    <w:rsid w:val="392739CD"/>
    <w:rsid w:val="39285257"/>
    <w:rsid w:val="392F33E9"/>
    <w:rsid w:val="394058A1"/>
    <w:rsid w:val="395B587A"/>
    <w:rsid w:val="39634F2F"/>
    <w:rsid w:val="396B38F9"/>
    <w:rsid w:val="39725672"/>
    <w:rsid w:val="397C593B"/>
    <w:rsid w:val="398009F2"/>
    <w:rsid w:val="39856076"/>
    <w:rsid w:val="39904730"/>
    <w:rsid w:val="3998578F"/>
    <w:rsid w:val="399D40A6"/>
    <w:rsid w:val="399E10E9"/>
    <w:rsid w:val="39A15812"/>
    <w:rsid w:val="39A62BC5"/>
    <w:rsid w:val="39AB170B"/>
    <w:rsid w:val="39AB36B0"/>
    <w:rsid w:val="39AC5F39"/>
    <w:rsid w:val="39BD3526"/>
    <w:rsid w:val="39CA7EE1"/>
    <w:rsid w:val="39CF7C3B"/>
    <w:rsid w:val="39D0667C"/>
    <w:rsid w:val="39D13799"/>
    <w:rsid w:val="39D81C2E"/>
    <w:rsid w:val="39D834BC"/>
    <w:rsid w:val="39DB5D96"/>
    <w:rsid w:val="39E72C87"/>
    <w:rsid w:val="3A031FBB"/>
    <w:rsid w:val="3A0A1AA9"/>
    <w:rsid w:val="3A0B5777"/>
    <w:rsid w:val="3A155B6D"/>
    <w:rsid w:val="3A174B44"/>
    <w:rsid w:val="3A18071F"/>
    <w:rsid w:val="3A1E5170"/>
    <w:rsid w:val="3A340E74"/>
    <w:rsid w:val="3A3A6ED3"/>
    <w:rsid w:val="3A3B116A"/>
    <w:rsid w:val="3A40617E"/>
    <w:rsid w:val="3A4D2443"/>
    <w:rsid w:val="3A567FA2"/>
    <w:rsid w:val="3A6D28F3"/>
    <w:rsid w:val="3A6D578B"/>
    <w:rsid w:val="3A8335D3"/>
    <w:rsid w:val="3AA12391"/>
    <w:rsid w:val="3AB41160"/>
    <w:rsid w:val="3AB43C5D"/>
    <w:rsid w:val="3AB53404"/>
    <w:rsid w:val="3AB81F10"/>
    <w:rsid w:val="3AC00CC6"/>
    <w:rsid w:val="3AC46270"/>
    <w:rsid w:val="3ACA0E8E"/>
    <w:rsid w:val="3ACF410F"/>
    <w:rsid w:val="3AD338CF"/>
    <w:rsid w:val="3AE97133"/>
    <w:rsid w:val="3AF07747"/>
    <w:rsid w:val="3AF40AA8"/>
    <w:rsid w:val="3AF905E5"/>
    <w:rsid w:val="3B093699"/>
    <w:rsid w:val="3B0E32C8"/>
    <w:rsid w:val="3B1B1EED"/>
    <w:rsid w:val="3B1E77A1"/>
    <w:rsid w:val="3B226634"/>
    <w:rsid w:val="3B30376D"/>
    <w:rsid w:val="3B332520"/>
    <w:rsid w:val="3B336750"/>
    <w:rsid w:val="3B3E7874"/>
    <w:rsid w:val="3B476C5C"/>
    <w:rsid w:val="3B4B66AB"/>
    <w:rsid w:val="3B4B6968"/>
    <w:rsid w:val="3B4D2319"/>
    <w:rsid w:val="3B52584C"/>
    <w:rsid w:val="3B5C48FD"/>
    <w:rsid w:val="3B5D72EC"/>
    <w:rsid w:val="3B600818"/>
    <w:rsid w:val="3B764781"/>
    <w:rsid w:val="3B78287F"/>
    <w:rsid w:val="3B7A6828"/>
    <w:rsid w:val="3B917A3D"/>
    <w:rsid w:val="3B964F8C"/>
    <w:rsid w:val="3BA3417A"/>
    <w:rsid w:val="3BAD03B0"/>
    <w:rsid w:val="3BAD3C09"/>
    <w:rsid w:val="3BB27CC9"/>
    <w:rsid w:val="3BC25785"/>
    <w:rsid w:val="3BD33ADA"/>
    <w:rsid w:val="3BD43439"/>
    <w:rsid w:val="3BDB09BD"/>
    <w:rsid w:val="3BDC2AB5"/>
    <w:rsid w:val="3BDC484D"/>
    <w:rsid w:val="3BDE3AAA"/>
    <w:rsid w:val="3BE15761"/>
    <w:rsid w:val="3BF60A2E"/>
    <w:rsid w:val="3C2423A3"/>
    <w:rsid w:val="3C2E3ABB"/>
    <w:rsid w:val="3C354127"/>
    <w:rsid w:val="3C383785"/>
    <w:rsid w:val="3C4672D5"/>
    <w:rsid w:val="3C743B3F"/>
    <w:rsid w:val="3C75312D"/>
    <w:rsid w:val="3C7F73A4"/>
    <w:rsid w:val="3C9F674C"/>
    <w:rsid w:val="3CA1655A"/>
    <w:rsid w:val="3CA82ABA"/>
    <w:rsid w:val="3CAB23DB"/>
    <w:rsid w:val="3CAB622C"/>
    <w:rsid w:val="3CB06CF7"/>
    <w:rsid w:val="3CBB4053"/>
    <w:rsid w:val="3CBC1B1B"/>
    <w:rsid w:val="3CC65DEA"/>
    <w:rsid w:val="3CC70170"/>
    <w:rsid w:val="3CCC4D4C"/>
    <w:rsid w:val="3CDA79D6"/>
    <w:rsid w:val="3CE443AC"/>
    <w:rsid w:val="3CE6378A"/>
    <w:rsid w:val="3CFF781D"/>
    <w:rsid w:val="3D006537"/>
    <w:rsid w:val="3D04602E"/>
    <w:rsid w:val="3D051C8C"/>
    <w:rsid w:val="3D105DB8"/>
    <w:rsid w:val="3D1278CD"/>
    <w:rsid w:val="3D1651E3"/>
    <w:rsid w:val="3D230FA5"/>
    <w:rsid w:val="3D4753C2"/>
    <w:rsid w:val="3D502DD9"/>
    <w:rsid w:val="3D575A1F"/>
    <w:rsid w:val="3D5A5356"/>
    <w:rsid w:val="3D606D5A"/>
    <w:rsid w:val="3D6C04A2"/>
    <w:rsid w:val="3D6C7B1E"/>
    <w:rsid w:val="3D7B0EAE"/>
    <w:rsid w:val="3D7E169C"/>
    <w:rsid w:val="3D8842DF"/>
    <w:rsid w:val="3D8E489A"/>
    <w:rsid w:val="3D8F08A7"/>
    <w:rsid w:val="3D901369"/>
    <w:rsid w:val="3D942DFB"/>
    <w:rsid w:val="3DA3457E"/>
    <w:rsid w:val="3DB3564E"/>
    <w:rsid w:val="3DB72439"/>
    <w:rsid w:val="3DE30D42"/>
    <w:rsid w:val="3DE50126"/>
    <w:rsid w:val="3DE734A8"/>
    <w:rsid w:val="3DE85616"/>
    <w:rsid w:val="3DEA6717"/>
    <w:rsid w:val="3DF066BE"/>
    <w:rsid w:val="3DF1237A"/>
    <w:rsid w:val="3DFC0FDC"/>
    <w:rsid w:val="3E0100A8"/>
    <w:rsid w:val="3E042B28"/>
    <w:rsid w:val="3E065D03"/>
    <w:rsid w:val="3E0D576A"/>
    <w:rsid w:val="3E15211A"/>
    <w:rsid w:val="3E25551A"/>
    <w:rsid w:val="3E2732A7"/>
    <w:rsid w:val="3E32130C"/>
    <w:rsid w:val="3E36060F"/>
    <w:rsid w:val="3E36080C"/>
    <w:rsid w:val="3E3C401A"/>
    <w:rsid w:val="3E433F6D"/>
    <w:rsid w:val="3E44218A"/>
    <w:rsid w:val="3E446FC6"/>
    <w:rsid w:val="3E457AC0"/>
    <w:rsid w:val="3E46589A"/>
    <w:rsid w:val="3E503CF0"/>
    <w:rsid w:val="3E5507F3"/>
    <w:rsid w:val="3E595BDA"/>
    <w:rsid w:val="3E643279"/>
    <w:rsid w:val="3E6B3B4F"/>
    <w:rsid w:val="3E6E2B13"/>
    <w:rsid w:val="3E793FCB"/>
    <w:rsid w:val="3E7B3C17"/>
    <w:rsid w:val="3E807C6B"/>
    <w:rsid w:val="3E8413CF"/>
    <w:rsid w:val="3E8823E8"/>
    <w:rsid w:val="3EA41F3B"/>
    <w:rsid w:val="3EAF785C"/>
    <w:rsid w:val="3EB5378A"/>
    <w:rsid w:val="3EBC5BF3"/>
    <w:rsid w:val="3EC86860"/>
    <w:rsid w:val="3EF16DA2"/>
    <w:rsid w:val="3EF230F9"/>
    <w:rsid w:val="3EF300AA"/>
    <w:rsid w:val="3EFA4897"/>
    <w:rsid w:val="3EFA7DE0"/>
    <w:rsid w:val="3F095ADA"/>
    <w:rsid w:val="3F0C51C1"/>
    <w:rsid w:val="3F0F6FB7"/>
    <w:rsid w:val="3F1C07B0"/>
    <w:rsid w:val="3F2000BF"/>
    <w:rsid w:val="3F214F25"/>
    <w:rsid w:val="3F2F0B00"/>
    <w:rsid w:val="3F3562E1"/>
    <w:rsid w:val="3F3F7018"/>
    <w:rsid w:val="3F407C46"/>
    <w:rsid w:val="3F496EA7"/>
    <w:rsid w:val="3F534A00"/>
    <w:rsid w:val="3F537B41"/>
    <w:rsid w:val="3F5C43D6"/>
    <w:rsid w:val="3F624259"/>
    <w:rsid w:val="3F626E4D"/>
    <w:rsid w:val="3F653A52"/>
    <w:rsid w:val="3F6C0920"/>
    <w:rsid w:val="3F741B48"/>
    <w:rsid w:val="3F78191C"/>
    <w:rsid w:val="3F783568"/>
    <w:rsid w:val="3F7A1AAF"/>
    <w:rsid w:val="3F7D08A7"/>
    <w:rsid w:val="3F7E4AA5"/>
    <w:rsid w:val="3F7E569A"/>
    <w:rsid w:val="3F813904"/>
    <w:rsid w:val="3F8A7998"/>
    <w:rsid w:val="3F8B2820"/>
    <w:rsid w:val="3FA8507A"/>
    <w:rsid w:val="3FBC5D40"/>
    <w:rsid w:val="3FC55420"/>
    <w:rsid w:val="3FC936F7"/>
    <w:rsid w:val="3FE8415D"/>
    <w:rsid w:val="3FEA5B8A"/>
    <w:rsid w:val="3FEC10DB"/>
    <w:rsid w:val="3FF45F20"/>
    <w:rsid w:val="3FF47EE2"/>
    <w:rsid w:val="3FFA0954"/>
    <w:rsid w:val="3FFF626D"/>
    <w:rsid w:val="40121EF7"/>
    <w:rsid w:val="40247999"/>
    <w:rsid w:val="40282971"/>
    <w:rsid w:val="4038105F"/>
    <w:rsid w:val="403911CE"/>
    <w:rsid w:val="403A0DD2"/>
    <w:rsid w:val="40450277"/>
    <w:rsid w:val="405428A2"/>
    <w:rsid w:val="405A3B40"/>
    <w:rsid w:val="405D354E"/>
    <w:rsid w:val="406D08C6"/>
    <w:rsid w:val="406D0C6A"/>
    <w:rsid w:val="406F5D95"/>
    <w:rsid w:val="40777C63"/>
    <w:rsid w:val="408B053C"/>
    <w:rsid w:val="408B18EF"/>
    <w:rsid w:val="409C7074"/>
    <w:rsid w:val="40A04EAA"/>
    <w:rsid w:val="40A42822"/>
    <w:rsid w:val="40A742D2"/>
    <w:rsid w:val="40AB069B"/>
    <w:rsid w:val="40B10C34"/>
    <w:rsid w:val="40B5528E"/>
    <w:rsid w:val="40BA1AEF"/>
    <w:rsid w:val="40BD1EE6"/>
    <w:rsid w:val="40CB45A4"/>
    <w:rsid w:val="40CD1439"/>
    <w:rsid w:val="40D21EAD"/>
    <w:rsid w:val="40D861A7"/>
    <w:rsid w:val="40D910E2"/>
    <w:rsid w:val="40DF325E"/>
    <w:rsid w:val="40E57226"/>
    <w:rsid w:val="40E86470"/>
    <w:rsid w:val="40EE5DCC"/>
    <w:rsid w:val="40F05B0A"/>
    <w:rsid w:val="40F077B3"/>
    <w:rsid w:val="40F173B9"/>
    <w:rsid w:val="41082368"/>
    <w:rsid w:val="410D62E6"/>
    <w:rsid w:val="410F7753"/>
    <w:rsid w:val="41114E45"/>
    <w:rsid w:val="41126378"/>
    <w:rsid w:val="411920B4"/>
    <w:rsid w:val="411D6786"/>
    <w:rsid w:val="41277B79"/>
    <w:rsid w:val="41280017"/>
    <w:rsid w:val="413750D5"/>
    <w:rsid w:val="413F3D30"/>
    <w:rsid w:val="41434944"/>
    <w:rsid w:val="41534C32"/>
    <w:rsid w:val="415955D3"/>
    <w:rsid w:val="415C07A6"/>
    <w:rsid w:val="41603558"/>
    <w:rsid w:val="4160791D"/>
    <w:rsid w:val="41622DA8"/>
    <w:rsid w:val="416267EE"/>
    <w:rsid w:val="41645765"/>
    <w:rsid w:val="41686319"/>
    <w:rsid w:val="416870EC"/>
    <w:rsid w:val="41691829"/>
    <w:rsid w:val="416C5F7A"/>
    <w:rsid w:val="416E56A4"/>
    <w:rsid w:val="4173114C"/>
    <w:rsid w:val="41736B5C"/>
    <w:rsid w:val="41744B68"/>
    <w:rsid w:val="41772038"/>
    <w:rsid w:val="41775552"/>
    <w:rsid w:val="417B0BF3"/>
    <w:rsid w:val="417C6A83"/>
    <w:rsid w:val="4184497F"/>
    <w:rsid w:val="41871848"/>
    <w:rsid w:val="41923730"/>
    <w:rsid w:val="41937A54"/>
    <w:rsid w:val="41C643BE"/>
    <w:rsid w:val="41D747D1"/>
    <w:rsid w:val="41E00F03"/>
    <w:rsid w:val="41E73EBD"/>
    <w:rsid w:val="41ED4C9A"/>
    <w:rsid w:val="41EE4AD1"/>
    <w:rsid w:val="41F41BC0"/>
    <w:rsid w:val="41F477B2"/>
    <w:rsid w:val="41F85DCB"/>
    <w:rsid w:val="42027A33"/>
    <w:rsid w:val="42050BB7"/>
    <w:rsid w:val="420B47F1"/>
    <w:rsid w:val="42107462"/>
    <w:rsid w:val="421138F3"/>
    <w:rsid w:val="42144F39"/>
    <w:rsid w:val="421B376A"/>
    <w:rsid w:val="422A2EBE"/>
    <w:rsid w:val="42363D7E"/>
    <w:rsid w:val="42407972"/>
    <w:rsid w:val="425438F8"/>
    <w:rsid w:val="426D1AF9"/>
    <w:rsid w:val="42817119"/>
    <w:rsid w:val="428E6753"/>
    <w:rsid w:val="42B63740"/>
    <w:rsid w:val="42B80068"/>
    <w:rsid w:val="42BF3600"/>
    <w:rsid w:val="42C635AB"/>
    <w:rsid w:val="42CC41ED"/>
    <w:rsid w:val="42CD7A58"/>
    <w:rsid w:val="42DE4937"/>
    <w:rsid w:val="42E4482F"/>
    <w:rsid w:val="42E74894"/>
    <w:rsid w:val="42E80112"/>
    <w:rsid w:val="42E80BE7"/>
    <w:rsid w:val="42EA2674"/>
    <w:rsid w:val="42FF0A4E"/>
    <w:rsid w:val="42FF4FD2"/>
    <w:rsid w:val="43030B11"/>
    <w:rsid w:val="43072C25"/>
    <w:rsid w:val="430B7F74"/>
    <w:rsid w:val="43105BAF"/>
    <w:rsid w:val="43197002"/>
    <w:rsid w:val="431D2F80"/>
    <w:rsid w:val="431E756D"/>
    <w:rsid w:val="43205943"/>
    <w:rsid w:val="435306A7"/>
    <w:rsid w:val="435931F2"/>
    <w:rsid w:val="4359639F"/>
    <w:rsid w:val="435A2947"/>
    <w:rsid w:val="435D6F74"/>
    <w:rsid w:val="43611965"/>
    <w:rsid w:val="43642B1D"/>
    <w:rsid w:val="436C1FC8"/>
    <w:rsid w:val="43700594"/>
    <w:rsid w:val="43732E78"/>
    <w:rsid w:val="43811B04"/>
    <w:rsid w:val="438F5DCE"/>
    <w:rsid w:val="43A3234E"/>
    <w:rsid w:val="43A342D8"/>
    <w:rsid w:val="43AE2E0D"/>
    <w:rsid w:val="43B34D0B"/>
    <w:rsid w:val="43B52BC6"/>
    <w:rsid w:val="43C32F42"/>
    <w:rsid w:val="43C97B56"/>
    <w:rsid w:val="43CE13BE"/>
    <w:rsid w:val="43D25349"/>
    <w:rsid w:val="43D937EC"/>
    <w:rsid w:val="43DE5D0C"/>
    <w:rsid w:val="43E02455"/>
    <w:rsid w:val="43EC6B09"/>
    <w:rsid w:val="43FE5DB1"/>
    <w:rsid w:val="440067C9"/>
    <w:rsid w:val="44073A48"/>
    <w:rsid w:val="440F7E6A"/>
    <w:rsid w:val="44167D41"/>
    <w:rsid w:val="442147A2"/>
    <w:rsid w:val="44223E0E"/>
    <w:rsid w:val="442C4C7F"/>
    <w:rsid w:val="442D0AA5"/>
    <w:rsid w:val="443516B6"/>
    <w:rsid w:val="444F1108"/>
    <w:rsid w:val="44511999"/>
    <w:rsid w:val="445760CA"/>
    <w:rsid w:val="445953B8"/>
    <w:rsid w:val="44665051"/>
    <w:rsid w:val="44711679"/>
    <w:rsid w:val="447521B1"/>
    <w:rsid w:val="44875E7F"/>
    <w:rsid w:val="448D19A9"/>
    <w:rsid w:val="448E46F8"/>
    <w:rsid w:val="44906BF1"/>
    <w:rsid w:val="4492358A"/>
    <w:rsid w:val="44982C92"/>
    <w:rsid w:val="449C503F"/>
    <w:rsid w:val="449D6D76"/>
    <w:rsid w:val="44B21F69"/>
    <w:rsid w:val="44B44F90"/>
    <w:rsid w:val="44BC425D"/>
    <w:rsid w:val="44BE4D3E"/>
    <w:rsid w:val="44CD3295"/>
    <w:rsid w:val="44D57EE2"/>
    <w:rsid w:val="44DB2AB5"/>
    <w:rsid w:val="44DE04D4"/>
    <w:rsid w:val="44E9034C"/>
    <w:rsid w:val="44F215A8"/>
    <w:rsid w:val="44FA0E1F"/>
    <w:rsid w:val="44FD53A0"/>
    <w:rsid w:val="450C347C"/>
    <w:rsid w:val="450D614C"/>
    <w:rsid w:val="45116553"/>
    <w:rsid w:val="45206326"/>
    <w:rsid w:val="45423324"/>
    <w:rsid w:val="454E1331"/>
    <w:rsid w:val="455932E8"/>
    <w:rsid w:val="455A3F5B"/>
    <w:rsid w:val="455B0F64"/>
    <w:rsid w:val="45604017"/>
    <w:rsid w:val="45704792"/>
    <w:rsid w:val="45815A18"/>
    <w:rsid w:val="45952293"/>
    <w:rsid w:val="4595533A"/>
    <w:rsid w:val="4595753A"/>
    <w:rsid w:val="459B42F3"/>
    <w:rsid w:val="45A03CD6"/>
    <w:rsid w:val="45A30BB3"/>
    <w:rsid w:val="45B10667"/>
    <w:rsid w:val="45B422D4"/>
    <w:rsid w:val="45B52D2C"/>
    <w:rsid w:val="45BA5BB9"/>
    <w:rsid w:val="45CE3B4C"/>
    <w:rsid w:val="45D03EF8"/>
    <w:rsid w:val="45DF1526"/>
    <w:rsid w:val="45E124B2"/>
    <w:rsid w:val="45E45F0F"/>
    <w:rsid w:val="45E75834"/>
    <w:rsid w:val="45E9217D"/>
    <w:rsid w:val="45F30D3A"/>
    <w:rsid w:val="45F809DF"/>
    <w:rsid w:val="45FF46C9"/>
    <w:rsid w:val="46003ABE"/>
    <w:rsid w:val="46134FA2"/>
    <w:rsid w:val="461524F7"/>
    <w:rsid w:val="461E3141"/>
    <w:rsid w:val="46265E80"/>
    <w:rsid w:val="462B55EF"/>
    <w:rsid w:val="46333472"/>
    <w:rsid w:val="46394F31"/>
    <w:rsid w:val="463A3CFA"/>
    <w:rsid w:val="46532E46"/>
    <w:rsid w:val="46671256"/>
    <w:rsid w:val="46733FB6"/>
    <w:rsid w:val="467955D3"/>
    <w:rsid w:val="468E3B67"/>
    <w:rsid w:val="46936062"/>
    <w:rsid w:val="469778EA"/>
    <w:rsid w:val="46A74C79"/>
    <w:rsid w:val="46A75934"/>
    <w:rsid w:val="46A94AB1"/>
    <w:rsid w:val="46BB6376"/>
    <w:rsid w:val="46BF7718"/>
    <w:rsid w:val="46CD192D"/>
    <w:rsid w:val="46DB155E"/>
    <w:rsid w:val="46DB1E32"/>
    <w:rsid w:val="46DD4BEB"/>
    <w:rsid w:val="46DD4D21"/>
    <w:rsid w:val="46F109A8"/>
    <w:rsid w:val="471151D7"/>
    <w:rsid w:val="47177581"/>
    <w:rsid w:val="474D000E"/>
    <w:rsid w:val="474E6DEE"/>
    <w:rsid w:val="4756081E"/>
    <w:rsid w:val="477C0AE7"/>
    <w:rsid w:val="478B3ACA"/>
    <w:rsid w:val="478B51FC"/>
    <w:rsid w:val="47B068FC"/>
    <w:rsid w:val="47BA75CF"/>
    <w:rsid w:val="47C237A3"/>
    <w:rsid w:val="47D54EAC"/>
    <w:rsid w:val="47D73723"/>
    <w:rsid w:val="47E65A33"/>
    <w:rsid w:val="47F06768"/>
    <w:rsid w:val="48046339"/>
    <w:rsid w:val="48160455"/>
    <w:rsid w:val="48261984"/>
    <w:rsid w:val="482634B7"/>
    <w:rsid w:val="48285F33"/>
    <w:rsid w:val="482A2F5D"/>
    <w:rsid w:val="48343C6E"/>
    <w:rsid w:val="4843495F"/>
    <w:rsid w:val="48514723"/>
    <w:rsid w:val="48641329"/>
    <w:rsid w:val="48726106"/>
    <w:rsid w:val="48765DDB"/>
    <w:rsid w:val="487A5258"/>
    <w:rsid w:val="48802E8C"/>
    <w:rsid w:val="4884303D"/>
    <w:rsid w:val="488940B8"/>
    <w:rsid w:val="488A752D"/>
    <w:rsid w:val="488C7BDA"/>
    <w:rsid w:val="48924C2F"/>
    <w:rsid w:val="489B3890"/>
    <w:rsid w:val="489E0F6F"/>
    <w:rsid w:val="48A030A4"/>
    <w:rsid w:val="48A93172"/>
    <w:rsid w:val="48B7143C"/>
    <w:rsid w:val="48B91829"/>
    <w:rsid w:val="48B92384"/>
    <w:rsid w:val="48C37E6D"/>
    <w:rsid w:val="48C61083"/>
    <w:rsid w:val="48C7367E"/>
    <w:rsid w:val="48CA4280"/>
    <w:rsid w:val="48CD74D8"/>
    <w:rsid w:val="48CF73FA"/>
    <w:rsid w:val="48D173B8"/>
    <w:rsid w:val="48F869C3"/>
    <w:rsid w:val="48FC4177"/>
    <w:rsid w:val="49016D44"/>
    <w:rsid w:val="4902441E"/>
    <w:rsid w:val="491A084B"/>
    <w:rsid w:val="491D2FE5"/>
    <w:rsid w:val="491D4E75"/>
    <w:rsid w:val="49263C8E"/>
    <w:rsid w:val="4928270E"/>
    <w:rsid w:val="49293A04"/>
    <w:rsid w:val="492A337A"/>
    <w:rsid w:val="4930480C"/>
    <w:rsid w:val="493C2A90"/>
    <w:rsid w:val="49456040"/>
    <w:rsid w:val="4947267A"/>
    <w:rsid w:val="49526C8B"/>
    <w:rsid w:val="49575078"/>
    <w:rsid w:val="495D79CB"/>
    <w:rsid w:val="4962179E"/>
    <w:rsid w:val="49624E42"/>
    <w:rsid w:val="496A3B11"/>
    <w:rsid w:val="497A4E39"/>
    <w:rsid w:val="4985305E"/>
    <w:rsid w:val="49874010"/>
    <w:rsid w:val="498D603A"/>
    <w:rsid w:val="49973E8B"/>
    <w:rsid w:val="49A46998"/>
    <w:rsid w:val="49B40BB7"/>
    <w:rsid w:val="49B73FFC"/>
    <w:rsid w:val="49B77E13"/>
    <w:rsid w:val="49BA09DD"/>
    <w:rsid w:val="49BB2EF2"/>
    <w:rsid w:val="49CA1C90"/>
    <w:rsid w:val="49D11BB5"/>
    <w:rsid w:val="49DE736B"/>
    <w:rsid w:val="49E61A93"/>
    <w:rsid w:val="49EC5081"/>
    <w:rsid w:val="49F12780"/>
    <w:rsid w:val="49F92964"/>
    <w:rsid w:val="49FC2EDC"/>
    <w:rsid w:val="4A062298"/>
    <w:rsid w:val="4A087D32"/>
    <w:rsid w:val="4A0919B5"/>
    <w:rsid w:val="4A0A0909"/>
    <w:rsid w:val="4A1A2584"/>
    <w:rsid w:val="4A1A6BBA"/>
    <w:rsid w:val="4A3B5258"/>
    <w:rsid w:val="4A4E3365"/>
    <w:rsid w:val="4A5362A8"/>
    <w:rsid w:val="4A5438FD"/>
    <w:rsid w:val="4A6135B0"/>
    <w:rsid w:val="4A6D7ABE"/>
    <w:rsid w:val="4A7D1C6B"/>
    <w:rsid w:val="4A824992"/>
    <w:rsid w:val="4A83685D"/>
    <w:rsid w:val="4A8450E5"/>
    <w:rsid w:val="4AA24AC6"/>
    <w:rsid w:val="4AAB4FE7"/>
    <w:rsid w:val="4AB469C8"/>
    <w:rsid w:val="4ABB5B47"/>
    <w:rsid w:val="4ACE0864"/>
    <w:rsid w:val="4AD0667C"/>
    <w:rsid w:val="4AD420F1"/>
    <w:rsid w:val="4AD619F8"/>
    <w:rsid w:val="4AD67BBF"/>
    <w:rsid w:val="4AD818BF"/>
    <w:rsid w:val="4AE27A62"/>
    <w:rsid w:val="4AE3237E"/>
    <w:rsid w:val="4AEA04BB"/>
    <w:rsid w:val="4AEC205D"/>
    <w:rsid w:val="4AF6071C"/>
    <w:rsid w:val="4AF674F2"/>
    <w:rsid w:val="4AFB5B56"/>
    <w:rsid w:val="4B067AE1"/>
    <w:rsid w:val="4B0C77CE"/>
    <w:rsid w:val="4B1278B1"/>
    <w:rsid w:val="4B1B2754"/>
    <w:rsid w:val="4B285ADE"/>
    <w:rsid w:val="4B2F02E1"/>
    <w:rsid w:val="4B3207BC"/>
    <w:rsid w:val="4B3A77FB"/>
    <w:rsid w:val="4B420FDD"/>
    <w:rsid w:val="4B431541"/>
    <w:rsid w:val="4B432624"/>
    <w:rsid w:val="4B59690B"/>
    <w:rsid w:val="4B864D16"/>
    <w:rsid w:val="4B8A111C"/>
    <w:rsid w:val="4B8D7F7C"/>
    <w:rsid w:val="4B935731"/>
    <w:rsid w:val="4B946297"/>
    <w:rsid w:val="4BB0001D"/>
    <w:rsid w:val="4BCA1D44"/>
    <w:rsid w:val="4BCD1A0B"/>
    <w:rsid w:val="4BE9256F"/>
    <w:rsid w:val="4C054B90"/>
    <w:rsid w:val="4C065348"/>
    <w:rsid w:val="4C091AB2"/>
    <w:rsid w:val="4C0F1B6F"/>
    <w:rsid w:val="4C104D11"/>
    <w:rsid w:val="4C1058DD"/>
    <w:rsid w:val="4C184D41"/>
    <w:rsid w:val="4C1F2AAF"/>
    <w:rsid w:val="4C277E96"/>
    <w:rsid w:val="4C297118"/>
    <w:rsid w:val="4C31630B"/>
    <w:rsid w:val="4C372104"/>
    <w:rsid w:val="4C3F61A7"/>
    <w:rsid w:val="4C4125BE"/>
    <w:rsid w:val="4C450E5D"/>
    <w:rsid w:val="4C5A7CAB"/>
    <w:rsid w:val="4C687FF3"/>
    <w:rsid w:val="4C6D440F"/>
    <w:rsid w:val="4C7A6658"/>
    <w:rsid w:val="4C7E349B"/>
    <w:rsid w:val="4C8A46A7"/>
    <w:rsid w:val="4C8B32F1"/>
    <w:rsid w:val="4C8D7854"/>
    <w:rsid w:val="4C900FC1"/>
    <w:rsid w:val="4CB04922"/>
    <w:rsid w:val="4CB30BC8"/>
    <w:rsid w:val="4CB30FE5"/>
    <w:rsid w:val="4CBE4932"/>
    <w:rsid w:val="4CC062F3"/>
    <w:rsid w:val="4CCF1B84"/>
    <w:rsid w:val="4CD33B34"/>
    <w:rsid w:val="4CDE6C51"/>
    <w:rsid w:val="4CE60D87"/>
    <w:rsid w:val="4CF41BFE"/>
    <w:rsid w:val="4CFC4C38"/>
    <w:rsid w:val="4CFF642D"/>
    <w:rsid w:val="4D005A19"/>
    <w:rsid w:val="4D0267F4"/>
    <w:rsid w:val="4D0829A8"/>
    <w:rsid w:val="4D0E5BBE"/>
    <w:rsid w:val="4D1779E8"/>
    <w:rsid w:val="4D1E66A6"/>
    <w:rsid w:val="4D226093"/>
    <w:rsid w:val="4D457128"/>
    <w:rsid w:val="4D483972"/>
    <w:rsid w:val="4D4E0925"/>
    <w:rsid w:val="4D4E140A"/>
    <w:rsid w:val="4D5106A2"/>
    <w:rsid w:val="4D5B39A9"/>
    <w:rsid w:val="4D600525"/>
    <w:rsid w:val="4D6171A9"/>
    <w:rsid w:val="4D662F0C"/>
    <w:rsid w:val="4D673DB9"/>
    <w:rsid w:val="4D6C5202"/>
    <w:rsid w:val="4D720028"/>
    <w:rsid w:val="4D7C21E2"/>
    <w:rsid w:val="4D7D4677"/>
    <w:rsid w:val="4D7F759C"/>
    <w:rsid w:val="4D896BAF"/>
    <w:rsid w:val="4D921F76"/>
    <w:rsid w:val="4D93276D"/>
    <w:rsid w:val="4D971E47"/>
    <w:rsid w:val="4DA413FF"/>
    <w:rsid w:val="4DA415D9"/>
    <w:rsid w:val="4DAB3423"/>
    <w:rsid w:val="4DAE2008"/>
    <w:rsid w:val="4DB24DF6"/>
    <w:rsid w:val="4DB3753C"/>
    <w:rsid w:val="4DB417DF"/>
    <w:rsid w:val="4DB74BF7"/>
    <w:rsid w:val="4DB80685"/>
    <w:rsid w:val="4DCE5F4C"/>
    <w:rsid w:val="4DEC52F2"/>
    <w:rsid w:val="4DF8403C"/>
    <w:rsid w:val="4DFC640D"/>
    <w:rsid w:val="4E030AEA"/>
    <w:rsid w:val="4E0F4D79"/>
    <w:rsid w:val="4E277D26"/>
    <w:rsid w:val="4E2A6FE5"/>
    <w:rsid w:val="4E324379"/>
    <w:rsid w:val="4E352A9C"/>
    <w:rsid w:val="4E3615A7"/>
    <w:rsid w:val="4E361B6D"/>
    <w:rsid w:val="4E386778"/>
    <w:rsid w:val="4E4A3FBA"/>
    <w:rsid w:val="4E4B415D"/>
    <w:rsid w:val="4E61657A"/>
    <w:rsid w:val="4E710E5C"/>
    <w:rsid w:val="4E7E59C0"/>
    <w:rsid w:val="4E81269C"/>
    <w:rsid w:val="4E8E12B1"/>
    <w:rsid w:val="4E975CCA"/>
    <w:rsid w:val="4E9C403B"/>
    <w:rsid w:val="4EA82617"/>
    <w:rsid w:val="4EAF224E"/>
    <w:rsid w:val="4EB574F8"/>
    <w:rsid w:val="4EBC2C07"/>
    <w:rsid w:val="4EC36056"/>
    <w:rsid w:val="4EC760CD"/>
    <w:rsid w:val="4ECB3484"/>
    <w:rsid w:val="4ED94C5E"/>
    <w:rsid w:val="4EDC62BD"/>
    <w:rsid w:val="4EE44F81"/>
    <w:rsid w:val="4EE4798A"/>
    <w:rsid w:val="4EE626BA"/>
    <w:rsid w:val="4EEB1CED"/>
    <w:rsid w:val="4EFA420F"/>
    <w:rsid w:val="4EFB11DF"/>
    <w:rsid w:val="4EFB377E"/>
    <w:rsid w:val="4EFF67F2"/>
    <w:rsid w:val="4F0F7757"/>
    <w:rsid w:val="4F150B75"/>
    <w:rsid w:val="4F163663"/>
    <w:rsid w:val="4F1C22BD"/>
    <w:rsid w:val="4F1C6E11"/>
    <w:rsid w:val="4F1E0A50"/>
    <w:rsid w:val="4F207B29"/>
    <w:rsid w:val="4F2365F6"/>
    <w:rsid w:val="4F2A4EC1"/>
    <w:rsid w:val="4F2C3CB1"/>
    <w:rsid w:val="4F332D3A"/>
    <w:rsid w:val="4F3363A7"/>
    <w:rsid w:val="4F34334A"/>
    <w:rsid w:val="4F475B51"/>
    <w:rsid w:val="4F480E4C"/>
    <w:rsid w:val="4F612E30"/>
    <w:rsid w:val="4F615856"/>
    <w:rsid w:val="4F6F621F"/>
    <w:rsid w:val="4F6F6FB6"/>
    <w:rsid w:val="4F7D308D"/>
    <w:rsid w:val="4F864F41"/>
    <w:rsid w:val="4F873904"/>
    <w:rsid w:val="4F90024E"/>
    <w:rsid w:val="4F934BD1"/>
    <w:rsid w:val="4F993FCC"/>
    <w:rsid w:val="4F9E14E6"/>
    <w:rsid w:val="4F9E5CAD"/>
    <w:rsid w:val="4FA832C0"/>
    <w:rsid w:val="4FB33796"/>
    <w:rsid w:val="4FB813CB"/>
    <w:rsid w:val="4FBD37D7"/>
    <w:rsid w:val="4FD23F53"/>
    <w:rsid w:val="4FE70A00"/>
    <w:rsid w:val="4FE720BD"/>
    <w:rsid w:val="4FE778A0"/>
    <w:rsid w:val="50031D93"/>
    <w:rsid w:val="50037BCE"/>
    <w:rsid w:val="50037F41"/>
    <w:rsid w:val="500E5CE5"/>
    <w:rsid w:val="500F67B4"/>
    <w:rsid w:val="50115149"/>
    <w:rsid w:val="502B45FC"/>
    <w:rsid w:val="503A3B82"/>
    <w:rsid w:val="503C5EB0"/>
    <w:rsid w:val="50514C1C"/>
    <w:rsid w:val="50527B09"/>
    <w:rsid w:val="505A1FF9"/>
    <w:rsid w:val="505D69A6"/>
    <w:rsid w:val="506E2B30"/>
    <w:rsid w:val="506F6AAD"/>
    <w:rsid w:val="50770645"/>
    <w:rsid w:val="50775342"/>
    <w:rsid w:val="50811B7B"/>
    <w:rsid w:val="50931AFE"/>
    <w:rsid w:val="5093597A"/>
    <w:rsid w:val="50983437"/>
    <w:rsid w:val="50AD2A1F"/>
    <w:rsid w:val="50CB337E"/>
    <w:rsid w:val="50CF0B69"/>
    <w:rsid w:val="50D20D94"/>
    <w:rsid w:val="50D36092"/>
    <w:rsid w:val="50DA24D6"/>
    <w:rsid w:val="50DC2B5E"/>
    <w:rsid w:val="50E35007"/>
    <w:rsid w:val="50F30F92"/>
    <w:rsid w:val="50F365E0"/>
    <w:rsid w:val="50F53AF1"/>
    <w:rsid w:val="51066B99"/>
    <w:rsid w:val="5107553B"/>
    <w:rsid w:val="5115268F"/>
    <w:rsid w:val="511575E7"/>
    <w:rsid w:val="51196D64"/>
    <w:rsid w:val="512E6BD7"/>
    <w:rsid w:val="513E1FC2"/>
    <w:rsid w:val="5144761D"/>
    <w:rsid w:val="5148519A"/>
    <w:rsid w:val="514B301B"/>
    <w:rsid w:val="51542293"/>
    <w:rsid w:val="51565874"/>
    <w:rsid w:val="515975C0"/>
    <w:rsid w:val="515F38FA"/>
    <w:rsid w:val="51667204"/>
    <w:rsid w:val="51670296"/>
    <w:rsid w:val="516717C4"/>
    <w:rsid w:val="516B5761"/>
    <w:rsid w:val="517E00F0"/>
    <w:rsid w:val="5184401E"/>
    <w:rsid w:val="51943AAA"/>
    <w:rsid w:val="51A14D8A"/>
    <w:rsid w:val="51B00BF1"/>
    <w:rsid w:val="51B60511"/>
    <w:rsid w:val="51BB7B4F"/>
    <w:rsid w:val="51C2466A"/>
    <w:rsid w:val="51DD41F3"/>
    <w:rsid w:val="51EB1612"/>
    <w:rsid w:val="51EF4DB5"/>
    <w:rsid w:val="51F55024"/>
    <w:rsid w:val="5201327D"/>
    <w:rsid w:val="52104DDF"/>
    <w:rsid w:val="522F1506"/>
    <w:rsid w:val="5234212A"/>
    <w:rsid w:val="523D2419"/>
    <w:rsid w:val="523F5ED5"/>
    <w:rsid w:val="52574377"/>
    <w:rsid w:val="525B0838"/>
    <w:rsid w:val="526819C8"/>
    <w:rsid w:val="52754056"/>
    <w:rsid w:val="527C3FF3"/>
    <w:rsid w:val="52874272"/>
    <w:rsid w:val="528A7E23"/>
    <w:rsid w:val="529464C3"/>
    <w:rsid w:val="529D4639"/>
    <w:rsid w:val="52A50E75"/>
    <w:rsid w:val="52A922E7"/>
    <w:rsid w:val="52B34242"/>
    <w:rsid w:val="52B565F9"/>
    <w:rsid w:val="52BC2B39"/>
    <w:rsid w:val="52BD7DAA"/>
    <w:rsid w:val="52C17CEE"/>
    <w:rsid w:val="52C44B35"/>
    <w:rsid w:val="52CE6E26"/>
    <w:rsid w:val="52D4455E"/>
    <w:rsid w:val="52D73B67"/>
    <w:rsid w:val="52E355E8"/>
    <w:rsid w:val="52EB5146"/>
    <w:rsid w:val="52FA02DA"/>
    <w:rsid w:val="53030D15"/>
    <w:rsid w:val="53140EC7"/>
    <w:rsid w:val="5320407C"/>
    <w:rsid w:val="53213666"/>
    <w:rsid w:val="5324209A"/>
    <w:rsid w:val="53266E12"/>
    <w:rsid w:val="532A331B"/>
    <w:rsid w:val="532B5C57"/>
    <w:rsid w:val="53315181"/>
    <w:rsid w:val="5338101F"/>
    <w:rsid w:val="533E5926"/>
    <w:rsid w:val="534105ED"/>
    <w:rsid w:val="53641F8A"/>
    <w:rsid w:val="53677F32"/>
    <w:rsid w:val="536A15E9"/>
    <w:rsid w:val="536F714D"/>
    <w:rsid w:val="53806381"/>
    <w:rsid w:val="538722F9"/>
    <w:rsid w:val="53921506"/>
    <w:rsid w:val="53933D76"/>
    <w:rsid w:val="53983BB8"/>
    <w:rsid w:val="539A2D0E"/>
    <w:rsid w:val="539C6F9E"/>
    <w:rsid w:val="53A7060F"/>
    <w:rsid w:val="53AE0A13"/>
    <w:rsid w:val="53BA6A76"/>
    <w:rsid w:val="53BD7C3A"/>
    <w:rsid w:val="53BE2D0E"/>
    <w:rsid w:val="53C26860"/>
    <w:rsid w:val="53CD6A17"/>
    <w:rsid w:val="53DE0F37"/>
    <w:rsid w:val="53DF5C6A"/>
    <w:rsid w:val="53E727DD"/>
    <w:rsid w:val="53EA16F2"/>
    <w:rsid w:val="53ED6A06"/>
    <w:rsid w:val="53F315F6"/>
    <w:rsid w:val="53FB4B08"/>
    <w:rsid w:val="53FB6AE7"/>
    <w:rsid w:val="53FD721B"/>
    <w:rsid w:val="54030A05"/>
    <w:rsid w:val="540728A3"/>
    <w:rsid w:val="5409075A"/>
    <w:rsid w:val="540C02AA"/>
    <w:rsid w:val="540C5D56"/>
    <w:rsid w:val="540E0B80"/>
    <w:rsid w:val="54113338"/>
    <w:rsid w:val="54294E56"/>
    <w:rsid w:val="54362D54"/>
    <w:rsid w:val="5439051F"/>
    <w:rsid w:val="543A7E24"/>
    <w:rsid w:val="544347E8"/>
    <w:rsid w:val="54434A34"/>
    <w:rsid w:val="54442F39"/>
    <w:rsid w:val="54554BEE"/>
    <w:rsid w:val="54631517"/>
    <w:rsid w:val="547353D3"/>
    <w:rsid w:val="547561B2"/>
    <w:rsid w:val="547907CF"/>
    <w:rsid w:val="547D50AD"/>
    <w:rsid w:val="549528B9"/>
    <w:rsid w:val="54A00E45"/>
    <w:rsid w:val="54A613EC"/>
    <w:rsid w:val="54A834E3"/>
    <w:rsid w:val="54B2567B"/>
    <w:rsid w:val="54BD12DC"/>
    <w:rsid w:val="54BF10E9"/>
    <w:rsid w:val="54CF2B22"/>
    <w:rsid w:val="54D038C9"/>
    <w:rsid w:val="54DB52D6"/>
    <w:rsid w:val="54DB7EF6"/>
    <w:rsid w:val="54EA7F84"/>
    <w:rsid w:val="54ED4DCE"/>
    <w:rsid w:val="54FA2ED1"/>
    <w:rsid w:val="54FB63AD"/>
    <w:rsid w:val="551B19F3"/>
    <w:rsid w:val="55280416"/>
    <w:rsid w:val="5531035B"/>
    <w:rsid w:val="553C1072"/>
    <w:rsid w:val="553D0930"/>
    <w:rsid w:val="554E444D"/>
    <w:rsid w:val="555B40E5"/>
    <w:rsid w:val="5566658B"/>
    <w:rsid w:val="55696243"/>
    <w:rsid w:val="556E7977"/>
    <w:rsid w:val="55846F0C"/>
    <w:rsid w:val="55857D79"/>
    <w:rsid w:val="558E04E4"/>
    <w:rsid w:val="558F6089"/>
    <w:rsid w:val="55966ACB"/>
    <w:rsid w:val="559702F9"/>
    <w:rsid w:val="559813CA"/>
    <w:rsid w:val="55A31B64"/>
    <w:rsid w:val="55AD4BB3"/>
    <w:rsid w:val="55B01AA7"/>
    <w:rsid w:val="55BA220D"/>
    <w:rsid w:val="55BB7620"/>
    <w:rsid w:val="55C3524B"/>
    <w:rsid w:val="55C401E8"/>
    <w:rsid w:val="55C4395B"/>
    <w:rsid w:val="55C84F6B"/>
    <w:rsid w:val="55CE7C03"/>
    <w:rsid w:val="55D4010C"/>
    <w:rsid w:val="55D95B3A"/>
    <w:rsid w:val="55DB4D41"/>
    <w:rsid w:val="55DD7948"/>
    <w:rsid w:val="55E81558"/>
    <w:rsid w:val="55ED0BBC"/>
    <w:rsid w:val="55F83AFC"/>
    <w:rsid w:val="56096419"/>
    <w:rsid w:val="560F7614"/>
    <w:rsid w:val="561C2AD3"/>
    <w:rsid w:val="561D3124"/>
    <w:rsid w:val="56242342"/>
    <w:rsid w:val="562B7CA4"/>
    <w:rsid w:val="564C7E4B"/>
    <w:rsid w:val="56526EF6"/>
    <w:rsid w:val="5655623B"/>
    <w:rsid w:val="565A7684"/>
    <w:rsid w:val="565A7ABF"/>
    <w:rsid w:val="565B30AD"/>
    <w:rsid w:val="565F6C26"/>
    <w:rsid w:val="567B1EBF"/>
    <w:rsid w:val="56805849"/>
    <w:rsid w:val="568B0FAC"/>
    <w:rsid w:val="568B1BBE"/>
    <w:rsid w:val="568E6209"/>
    <w:rsid w:val="56AF10CB"/>
    <w:rsid w:val="56BF3DA2"/>
    <w:rsid w:val="56C10A03"/>
    <w:rsid w:val="56CD4F87"/>
    <w:rsid w:val="56D873CC"/>
    <w:rsid w:val="56DD0842"/>
    <w:rsid w:val="56E274FC"/>
    <w:rsid w:val="56E700DA"/>
    <w:rsid w:val="56E929A7"/>
    <w:rsid w:val="56F1617B"/>
    <w:rsid w:val="56F47D63"/>
    <w:rsid w:val="56F968BE"/>
    <w:rsid w:val="56FB7D57"/>
    <w:rsid w:val="57023D2C"/>
    <w:rsid w:val="570723FE"/>
    <w:rsid w:val="572332AC"/>
    <w:rsid w:val="572824B0"/>
    <w:rsid w:val="57312173"/>
    <w:rsid w:val="57384F32"/>
    <w:rsid w:val="57502131"/>
    <w:rsid w:val="575E2F66"/>
    <w:rsid w:val="57683C5C"/>
    <w:rsid w:val="576A51B8"/>
    <w:rsid w:val="5771508A"/>
    <w:rsid w:val="57723CE9"/>
    <w:rsid w:val="5774374C"/>
    <w:rsid w:val="577E15AC"/>
    <w:rsid w:val="578248CE"/>
    <w:rsid w:val="578523F5"/>
    <w:rsid w:val="57910904"/>
    <w:rsid w:val="579A45BF"/>
    <w:rsid w:val="57A003CD"/>
    <w:rsid w:val="57A714CF"/>
    <w:rsid w:val="57AD74D2"/>
    <w:rsid w:val="57B969E5"/>
    <w:rsid w:val="57C05959"/>
    <w:rsid w:val="57C2449E"/>
    <w:rsid w:val="57C25890"/>
    <w:rsid w:val="57CC5188"/>
    <w:rsid w:val="57D9441E"/>
    <w:rsid w:val="57DC745F"/>
    <w:rsid w:val="57DE6B6D"/>
    <w:rsid w:val="57ED7FC8"/>
    <w:rsid w:val="57F163DD"/>
    <w:rsid w:val="57F2688B"/>
    <w:rsid w:val="57F847A9"/>
    <w:rsid w:val="57F9728F"/>
    <w:rsid w:val="58090AF2"/>
    <w:rsid w:val="580D258A"/>
    <w:rsid w:val="581D2619"/>
    <w:rsid w:val="5825764D"/>
    <w:rsid w:val="582C1622"/>
    <w:rsid w:val="582E1203"/>
    <w:rsid w:val="58390E12"/>
    <w:rsid w:val="5849037B"/>
    <w:rsid w:val="584A09C6"/>
    <w:rsid w:val="584B50A1"/>
    <w:rsid w:val="585301C0"/>
    <w:rsid w:val="585623D1"/>
    <w:rsid w:val="585C30EC"/>
    <w:rsid w:val="585E025F"/>
    <w:rsid w:val="58642D4C"/>
    <w:rsid w:val="5865560F"/>
    <w:rsid w:val="587C7F8D"/>
    <w:rsid w:val="58885EA4"/>
    <w:rsid w:val="588C12BF"/>
    <w:rsid w:val="588F40A7"/>
    <w:rsid w:val="589F5FAE"/>
    <w:rsid w:val="58A033D1"/>
    <w:rsid w:val="58A61464"/>
    <w:rsid w:val="58A87DB5"/>
    <w:rsid w:val="58C370EF"/>
    <w:rsid w:val="58CC52DD"/>
    <w:rsid w:val="58CD2F96"/>
    <w:rsid w:val="58D43CD3"/>
    <w:rsid w:val="58D74881"/>
    <w:rsid w:val="58DB1C06"/>
    <w:rsid w:val="58E23051"/>
    <w:rsid w:val="58E5366B"/>
    <w:rsid w:val="58E56358"/>
    <w:rsid w:val="58EB3E72"/>
    <w:rsid w:val="58FD74A5"/>
    <w:rsid w:val="58FE29E8"/>
    <w:rsid w:val="590029F9"/>
    <w:rsid w:val="59031B36"/>
    <w:rsid w:val="59032CDE"/>
    <w:rsid w:val="59056B45"/>
    <w:rsid w:val="59216756"/>
    <w:rsid w:val="594313FB"/>
    <w:rsid w:val="5949402F"/>
    <w:rsid w:val="594D669F"/>
    <w:rsid w:val="594F41F4"/>
    <w:rsid w:val="595529B5"/>
    <w:rsid w:val="596B5651"/>
    <w:rsid w:val="59741D17"/>
    <w:rsid w:val="597434E6"/>
    <w:rsid w:val="597A66A5"/>
    <w:rsid w:val="59936452"/>
    <w:rsid w:val="599E2608"/>
    <w:rsid w:val="59A0270D"/>
    <w:rsid w:val="59A414C7"/>
    <w:rsid w:val="59AD4CC6"/>
    <w:rsid w:val="59AF63E8"/>
    <w:rsid w:val="59B747B0"/>
    <w:rsid w:val="59B935B4"/>
    <w:rsid w:val="59BB0AC6"/>
    <w:rsid w:val="59CB2281"/>
    <w:rsid w:val="59D02384"/>
    <w:rsid w:val="59DE2BB8"/>
    <w:rsid w:val="59DE49FC"/>
    <w:rsid w:val="59E14949"/>
    <w:rsid w:val="59ED37B0"/>
    <w:rsid w:val="59EE367F"/>
    <w:rsid w:val="59F12FE3"/>
    <w:rsid w:val="59FB27AA"/>
    <w:rsid w:val="5A047D73"/>
    <w:rsid w:val="5A1A459C"/>
    <w:rsid w:val="5A1F005A"/>
    <w:rsid w:val="5A32261F"/>
    <w:rsid w:val="5A3D2472"/>
    <w:rsid w:val="5A414CC5"/>
    <w:rsid w:val="5A44027D"/>
    <w:rsid w:val="5A473261"/>
    <w:rsid w:val="5A591A73"/>
    <w:rsid w:val="5A5E77DC"/>
    <w:rsid w:val="5A610BFB"/>
    <w:rsid w:val="5A6640E9"/>
    <w:rsid w:val="5A6C559A"/>
    <w:rsid w:val="5A6F39CD"/>
    <w:rsid w:val="5A7075CC"/>
    <w:rsid w:val="5A8A15ED"/>
    <w:rsid w:val="5A916BC8"/>
    <w:rsid w:val="5A9538E2"/>
    <w:rsid w:val="5A9B43C0"/>
    <w:rsid w:val="5AA37666"/>
    <w:rsid w:val="5AB039F9"/>
    <w:rsid w:val="5AB679FF"/>
    <w:rsid w:val="5ABF5984"/>
    <w:rsid w:val="5AC27426"/>
    <w:rsid w:val="5ACB04D1"/>
    <w:rsid w:val="5ADB66F9"/>
    <w:rsid w:val="5AE02EC6"/>
    <w:rsid w:val="5AE1131E"/>
    <w:rsid w:val="5AE517F0"/>
    <w:rsid w:val="5B0E1A51"/>
    <w:rsid w:val="5B154949"/>
    <w:rsid w:val="5B166AFC"/>
    <w:rsid w:val="5B3507C5"/>
    <w:rsid w:val="5B3F3479"/>
    <w:rsid w:val="5B415C02"/>
    <w:rsid w:val="5B4368C9"/>
    <w:rsid w:val="5B445180"/>
    <w:rsid w:val="5B4D41D1"/>
    <w:rsid w:val="5B625D3F"/>
    <w:rsid w:val="5B653583"/>
    <w:rsid w:val="5B6F0879"/>
    <w:rsid w:val="5B7567BE"/>
    <w:rsid w:val="5B7642E2"/>
    <w:rsid w:val="5B7A7DD0"/>
    <w:rsid w:val="5B921C1D"/>
    <w:rsid w:val="5B932549"/>
    <w:rsid w:val="5B935AB5"/>
    <w:rsid w:val="5BA049A7"/>
    <w:rsid w:val="5BAC6105"/>
    <w:rsid w:val="5BAE1DF1"/>
    <w:rsid w:val="5BC509B8"/>
    <w:rsid w:val="5BC7657C"/>
    <w:rsid w:val="5BC8023B"/>
    <w:rsid w:val="5BDC0332"/>
    <w:rsid w:val="5BE05644"/>
    <w:rsid w:val="5BEC4B97"/>
    <w:rsid w:val="5BFE3BEA"/>
    <w:rsid w:val="5C0F2236"/>
    <w:rsid w:val="5C1556F6"/>
    <w:rsid w:val="5C19476B"/>
    <w:rsid w:val="5C1A5500"/>
    <w:rsid w:val="5C1E08E3"/>
    <w:rsid w:val="5C2210F7"/>
    <w:rsid w:val="5C28486D"/>
    <w:rsid w:val="5C2F2354"/>
    <w:rsid w:val="5C3F0EBE"/>
    <w:rsid w:val="5C493261"/>
    <w:rsid w:val="5C4C0029"/>
    <w:rsid w:val="5C540C20"/>
    <w:rsid w:val="5C63395F"/>
    <w:rsid w:val="5C7040ED"/>
    <w:rsid w:val="5C705650"/>
    <w:rsid w:val="5C7953A1"/>
    <w:rsid w:val="5C7C6BED"/>
    <w:rsid w:val="5C980121"/>
    <w:rsid w:val="5C9C425A"/>
    <w:rsid w:val="5CB07C43"/>
    <w:rsid w:val="5CB272A4"/>
    <w:rsid w:val="5CBC01EA"/>
    <w:rsid w:val="5CD97BA0"/>
    <w:rsid w:val="5CE544FE"/>
    <w:rsid w:val="5CEC0405"/>
    <w:rsid w:val="5CEC4B10"/>
    <w:rsid w:val="5CED4BC4"/>
    <w:rsid w:val="5CF24407"/>
    <w:rsid w:val="5CF514DE"/>
    <w:rsid w:val="5CF722D6"/>
    <w:rsid w:val="5CFB06FE"/>
    <w:rsid w:val="5CFE14B6"/>
    <w:rsid w:val="5D01095C"/>
    <w:rsid w:val="5D01770B"/>
    <w:rsid w:val="5D0D54CC"/>
    <w:rsid w:val="5D1216CC"/>
    <w:rsid w:val="5D1B6AC2"/>
    <w:rsid w:val="5D2E6485"/>
    <w:rsid w:val="5D372B22"/>
    <w:rsid w:val="5D3C6730"/>
    <w:rsid w:val="5D430C3A"/>
    <w:rsid w:val="5D4800F7"/>
    <w:rsid w:val="5D4D4FDF"/>
    <w:rsid w:val="5D5F32C1"/>
    <w:rsid w:val="5D644128"/>
    <w:rsid w:val="5D6527B6"/>
    <w:rsid w:val="5D725133"/>
    <w:rsid w:val="5D7B2D26"/>
    <w:rsid w:val="5D7C5E9C"/>
    <w:rsid w:val="5D7F656E"/>
    <w:rsid w:val="5D9303BA"/>
    <w:rsid w:val="5D9468BF"/>
    <w:rsid w:val="5D946C25"/>
    <w:rsid w:val="5D982C48"/>
    <w:rsid w:val="5DA76894"/>
    <w:rsid w:val="5DAE7B5F"/>
    <w:rsid w:val="5DB17CCE"/>
    <w:rsid w:val="5DB347B4"/>
    <w:rsid w:val="5DB61136"/>
    <w:rsid w:val="5DBB4401"/>
    <w:rsid w:val="5DC7406E"/>
    <w:rsid w:val="5DD67E32"/>
    <w:rsid w:val="5DEB6B6E"/>
    <w:rsid w:val="5DEE2132"/>
    <w:rsid w:val="5DEF5103"/>
    <w:rsid w:val="5DF94120"/>
    <w:rsid w:val="5DFA7198"/>
    <w:rsid w:val="5E0C705C"/>
    <w:rsid w:val="5E0D271C"/>
    <w:rsid w:val="5E145B57"/>
    <w:rsid w:val="5E1D727A"/>
    <w:rsid w:val="5E1E4F2B"/>
    <w:rsid w:val="5E2322A3"/>
    <w:rsid w:val="5E2E0A3E"/>
    <w:rsid w:val="5E2F6CA4"/>
    <w:rsid w:val="5E372AE9"/>
    <w:rsid w:val="5E410513"/>
    <w:rsid w:val="5E4C0165"/>
    <w:rsid w:val="5E4D01B7"/>
    <w:rsid w:val="5E543A5F"/>
    <w:rsid w:val="5E555EF9"/>
    <w:rsid w:val="5E5E33EF"/>
    <w:rsid w:val="5E6A1142"/>
    <w:rsid w:val="5E6F372D"/>
    <w:rsid w:val="5E7156F9"/>
    <w:rsid w:val="5E770F2B"/>
    <w:rsid w:val="5E7D5C44"/>
    <w:rsid w:val="5E7E57B6"/>
    <w:rsid w:val="5E867C15"/>
    <w:rsid w:val="5E884035"/>
    <w:rsid w:val="5E8C2D27"/>
    <w:rsid w:val="5E9920CE"/>
    <w:rsid w:val="5E9A2006"/>
    <w:rsid w:val="5E9C6FA8"/>
    <w:rsid w:val="5EAB2D0F"/>
    <w:rsid w:val="5EB81B21"/>
    <w:rsid w:val="5EBD54E1"/>
    <w:rsid w:val="5EC02201"/>
    <w:rsid w:val="5EC05DA4"/>
    <w:rsid w:val="5EC57012"/>
    <w:rsid w:val="5EE271B3"/>
    <w:rsid w:val="5EE31F4E"/>
    <w:rsid w:val="5EE91298"/>
    <w:rsid w:val="5EEB3B29"/>
    <w:rsid w:val="5EF2799D"/>
    <w:rsid w:val="5EF50FD4"/>
    <w:rsid w:val="5EF55A5C"/>
    <w:rsid w:val="5EF614CD"/>
    <w:rsid w:val="5EFD198E"/>
    <w:rsid w:val="5F050A54"/>
    <w:rsid w:val="5F0A7D16"/>
    <w:rsid w:val="5F0C5BCA"/>
    <w:rsid w:val="5F123FE3"/>
    <w:rsid w:val="5F207AC9"/>
    <w:rsid w:val="5F216BAC"/>
    <w:rsid w:val="5F220CB1"/>
    <w:rsid w:val="5F282486"/>
    <w:rsid w:val="5F294A3A"/>
    <w:rsid w:val="5F3659FF"/>
    <w:rsid w:val="5F3E2A4E"/>
    <w:rsid w:val="5F473A04"/>
    <w:rsid w:val="5F4A306E"/>
    <w:rsid w:val="5F4D0F9B"/>
    <w:rsid w:val="5F510BEA"/>
    <w:rsid w:val="5F512612"/>
    <w:rsid w:val="5F5755BC"/>
    <w:rsid w:val="5F5C7B57"/>
    <w:rsid w:val="5F611984"/>
    <w:rsid w:val="5F652BA8"/>
    <w:rsid w:val="5F6D5082"/>
    <w:rsid w:val="5F761C32"/>
    <w:rsid w:val="5F7932C5"/>
    <w:rsid w:val="5F8B364F"/>
    <w:rsid w:val="5F8D321D"/>
    <w:rsid w:val="5F9612D1"/>
    <w:rsid w:val="5F99147B"/>
    <w:rsid w:val="5F995752"/>
    <w:rsid w:val="5FA34EB7"/>
    <w:rsid w:val="5FAE59A2"/>
    <w:rsid w:val="5FBE6440"/>
    <w:rsid w:val="5FD5093E"/>
    <w:rsid w:val="5FEB686D"/>
    <w:rsid w:val="5FEB6A22"/>
    <w:rsid w:val="5FF31B4A"/>
    <w:rsid w:val="600C7F09"/>
    <w:rsid w:val="600F5237"/>
    <w:rsid w:val="601141AB"/>
    <w:rsid w:val="60167751"/>
    <w:rsid w:val="601B76D7"/>
    <w:rsid w:val="602861F0"/>
    <w:rsid w:val="60335FE2"/>
    <w:rsid w:val="60482EFA"/>
    <w:rsid w:val="604959D9"/>
    <w:rsid w:val="604A10A6"/>
    <w:rsid w:val="605C098D"/>
    <w:rsid w:val="60690CBC"/>
    <w:rsid w:val="60720664"/>
    <w:rsid w:val="60721C98"/>
    <w:rsid w:val="60784BAA"/>
    <w:rsid w:val="60796FD8"/>
    <w:rsid w:val="607E4C8F"/>
    <w:rsid w:val="608A629B"/>
    <w:rsid w:val="608B60DB"/>
    <w:rsid w:val="609B2ABF"/>
    <w:rsid w:val="609B2BFE"/>
    <w:rsid w:val="60A57474"/>
    <w:rsid w:val="60AF042B"/>
    <w:rsid w:val="60B3432B"/>
    <w:rsid w:val="60B858BB"/>
    <w:rsid w:val="60B902A5"/>
    <w:rsid w:val="60C3453F"/>
    <w:rsid w:val="60C61804"/>
    <w:rsid w:val="60D54F2D"/>
    <w:rsid w:val="60E32F73"/>
    <w:rsid w:val="60E64FB1"/>
    <w:rsid w:val="61004ABD"/>
    <w:rsid w:val="610B40B7"/>
    <w:rsid w:val="61136D2D"/>
    <w:rsid w:val="61140A92"/>
    <w:rsid w:val="61205288"/>
    <w:rsid w:val="61361361"/>
    <w:rsid w:val="613701B5"/>
    <w:rsid w:val="6145416B"/>
    <w:rsid w:val="6151207A"/>
    <w:rsid w:val="61587CA4"/>
    <w:rsid w:val="615D0933"/>
    <w:rsid w:val="615D305F"/>
    <w:rsid w:val="615D3449"/>
    <w:rsid w:val="61603872"/>
    <w:rsid w:val="616902E8"/>
    <w:rsid w:val="616E2A77"/>
    <w:rsid w:val="61725553"/>
    <w:rsid w:val="617554F4"/>
    <w:rsid w:val="617B25C9"/>
    <w:rsid w:val="617E56AC"/>
    <w:rsid w:val="61890594"/>
    <w:rsid w:val="619C5E9F"/>
    <w:rsid w:val="61A22246"/>
    <w:rsid w:val="61A249FD"/>
    <w:rsid w:val="61A43009"/>
    <w:rsid w:val="61A97A66"/>
    <w:rsid w:val="61AB577E"/>
    <w:rsid w:val="61BD42CE"/>
    <w:rsid w:val="61BF6568"/>
    <w:rsid w:val="61C06423"/>
    <w:rsid w:val="61C378B2"/>
    <w:rsid w:val="61C92A5B"/>
    <w:rsid w:val="61CE624E"/>
    <w:rsid w:val="61D21A20"/>
    <w:rsid w:val="61DF7F2E"/>
    <w:rsid w:val="61E20788"/>
    <w:rsid w:val="61E20FD0"/>
    <w:rsid w:val="61E51BE5"/>
    <w:rsid w:val="620501CF"/>
    <w:rsid w:val="62084970"/>
    <w:rsid w:val="62092479"/>
    <w:rsid w:val="620D5F72"/>
    <w:rsid w:val="621B2099"/>
    <w:rsid w:val="621B583E"/>
    <w:rsid w:val="621C5C01"/>
    <w:rsid w:val="62252497"/>
    <w:rsid w:val="62382803"/>
    <w:rsid w:val="624024CD"/>
    <w:rsid w:val="624D6F42"/>
    <w:rsid w:val="625375D5"/>
    <w:rsid w:val="62665FFE"/>
    <w:rsid w:val="6278613E"/>
    <w:rsid w:val="62874561"/>
    <w:rsid w:val="62921A11"/>
    <w:rsid w:val="629E6D3D"/>
    <w:rsid w:val="62AE329B"/>
    <w:rsid w:val="62B64A3F"/>
    <w:rsid w:val="62C118E1"/>
    <w:rsid w:val="62C4343C"/>
    <w:rsid w:val="62C67DDF"/>
    <w:rsid w:val="62C90390"/>
    <w:rsid w:val="62CC0CEF"/>
    <w:rsid w:val="62CC187C"/>
    <w:rsid w:val="62D748CC"/>
    <w:rsid w:val="62DC07C1"/>
    <w:rsid w:val="62EA3270"/>
    <w:rsid w:val="62ED0E29"/>
    <w:rsid w:val="62F619EA"/>
    <w:rsid w:val="63004EF7"/>
    <w:rsid w:val="630320B7"/>
    <w:rsid w:val="63063027"/>
    <w:rsid w:val="630A2A42"/>
    <w:rsid w:val="631A74EA"/>
    <w:rsid w:val="632519AF"/>
    <w:rsid w:val="63262F6E"/>
    <w:rsid w:val="632D0C7F"/>
    <w:rsid w:val="63477E3F"/>
    <w:rsid w:val="634D0981"/>
    <w:rsid w:val="634E46FB"/>
    <w:rsid w:val="634F0B95"/>
    <w:rsid w:val="635A7E0A"/>
    <w:rsid w:val="636A0D19"/>
    <w:rsid w:val="63787962"/>
    <w:rsid w:val="638127E2"/>
    <w:rsid w:val="63824D50"/>
    <w:rsid w:val="638E457E"/>
    <w:rsid w:val="6396681D"/>
    <w:rsid w:val="639B674C"/>
    <w:rsid w:val="639E485F"/>
    <w:rsid w:val="63AA0A31"/>
    <w:rsid w:val="63B873BE"/>
    <w:rsid w:val="63BB3DA2"/>
    <w:rsid w:val="63BC6CC1"/>
    <w:rsid w:val="63BE7BDD"/>
    <w:rsid w:val="63C5025D"/>
    <w:rsid w:val="63D1197B"/>
    <w:rsid w:val="63DF6396"/>
    <w:rsid w:val="63E113BA"/>
    <w:rsid w:val="63F92368"/>
    <w:rsid w:val="63FD00B6"/>
    <w:rsid w:val="63FD116B"/>
    <w:rsid w:val="640A6474"/>
    <w:rsid w:val="640E2073"/>
    <w:rsid w:val="642D3496"/>
    <w:rsid w:val="64310AA8"/>
    <w:rsid w:val="643E4AC1"/>
    <w:rsid w:val="64420D46"/>
    <w:rsid w:val="644F7035"/>
    <w:rsid w:val="64581482"/>
    <w:rsid w:val="645C498B"/>
    <w:rsid w:val="64601BCA"/>
    <w:rsid w:val="646A7EDD"/>
    <w:rsid w:val="64725309"/>
    <w:rsid w:val="647A160C"/>
    <w:rsid w:val="648406B1"/>
    <w:rsid w:val="64850FC5"/>
    <w:rsid w:val="648D6F6A"/>
    <w:rsid w:val="64945FB6"/>
    <w:rsid w:val="649540DC"/>
    <w:rsid w:val="649B32D7"/>
    <w:rsid w:val="64A54B11"/>
    <w:rsid w:val="64AB5169"/>
    <w:rsid w:val="64B35B76"/>
    <w:rsid w:val="64C7747A"/>
    <w:rsid w:val="64CC55B5"/>
    <w:rsid w:val="64D06456"/>
    <w:rsid w:val="64DB2B76"/>
    <w:rsid w:val="64DB70AA"/>
    <w:rsid w:val="64E7459D"/>
    <w:rsid w:val="64F3074B"/>
    <w:rsid w:val="64F95EEA"/>
    <w:rsid w:val="64FC0054"/>
    <w:rsid w:val="64FF43C3"/>
    <w:rsid w:val="65055B18"/>
    <w:rsid w:val="650D4A26"/>
    <w:rsid w:val="651631C1"/>
    <w:rsid w:val="652B0F7C"/>
    <w:rsid w:val="65413C40"/>
    <w:rsid w:val="65542C24"/>
    <w:rsid w:val="65646807"/>
    <w:rsid w:val="656A3AA0"/>
    <w:rsid w:val="657311C9"/>
    <w:rsid w:val="657C55EC"/>
    <w:rsid w:val="657E32C4"/>
    <w:rsid w:val="65820B3F"/>
    <w:rsid w:val="65821695"/>
    <w:rsid w:val="6584076D"/>
    <w:rsid w:val="65A01E32"/>
    <w:rsid w:val="65A05550"/>
    <w:rsid w:val="65AC032F"/>
    <w:rsid w:val="65B0135A"/>
    <w:rsid w:val="65B1615D"/>
    <w:rsid w:val="65B72F3D"/>
    <w:rsid w:val="65C16CB9"/>
    <w:rsid w:val="65C20B96"/>
    <w:rsid w:val="65D46F24"/>
    <w:rsid w:val="65DC01A0"/>
    <w:rsid w:val="65E855AB"/>
    <w:rsid w:val="65EA6448"/>
    <w:rsid w:val="65F16D88"/>
    <w:rsid w:val="65F454F6"/>
    <w:rsid w:val="65F72E23"/>
    <w:rsid w:val="66003152"/>
    <w:rsid w:val="66006D33"/>
    <w:rsid w:val="660D2876"/>
    <w:rsid w:val="66115C98"/>
    <w:rsid w:val="661D71F3"/>
    <w:rsid w:val="66213827"/>
    <w:rsid w:val="662C309A"/>
    <w:rsid w:val="662C400C"/>
    <w:rsid w:val="6634158B"/>
    <w:rsid w:val="66357330"/>
    <w:rsid w:val="663D15A4"/>
    <w:rsid w:val="664B5F05"/>
    <w:rsid w:val="665630B1"/>
    <w:rsid w:val="66615669"/>
    <w:rsid w:val="66623A55"/>
    <w:rsid w:val="666368FF"/>
    <w:rsid w:val="667714CB"/>
    <w:rsid w:val="66AA45F3"/>
    <w:rsid w:val="66AA4B3C"/>
    <w:rsid w:val="66AE05B8"/>
    <w:rsid w:val="66B95382"/>
    <w:rsid w:val="66BB7DE3"/>
    <w:rsid w:val="66BC654F"/>
    <w:rsid w:val="66BE3833"/>
    <w:rsid w:val="66BF5138"/>
    <w:rsid w:val="66C714A0"/>
    <w:rsid w:val="66C83D67"/>
    <w:rsid w:val="66DC6966"/>
    <w:rsid w:val="66F06968"/>
    <w:rsid w:val="66F84552"/>
    <w:rsid w:val="67034C47"/>
    <w:rsid w:val="672D0926"/>
    <w:rsid w:val="6735562E"/>
    <w:rsid w:val="67377E83"/>
    <w:rsid w:val="673D2F41"/>
    <w:rsid w:val="6740369C"/>
    <w:rsid w:val="674C5413"/>
    <w:rsid w:val="675C6C31"/>
    <w:rsid w:val="675E774A"/>
    <w:rsid w:val="676C31DE"/>
    <w:rsid w:val="67705278"/>
    <w:rsid w:val="67754F98"/>
    <w:rsid w:val="67811ED5"/>
    <w:rsid w:val="678614DF"/>
    <w:rsid w:val="67895196"/>
    <w:rsid w:val="678A085E"/>
    <w:rsid w:val="678E7244"/>
    <w:rsid w:val="679307A4"/>
    <w:rsid w:val="679A030F"/>
    <w:rsid w:val="679A4AA9"/>
    <w:rsid w:val="67A265D2"/>
    <w:rsid w:val="67B47A8D"/>
    <w:rsid w:val="67BE411B"/>
    <w:rsid w:val="67C2640D"/>
    <w:rsid w:val="67D05C3D"/>
    <w:rsid w:val="67DC7757"/>
    <w:rsid w:val="67E723DF"/>
    <w:rsid w:val="680775C3"/>
    <w:rsid w:val="681452F9"/>
    <w:rsid w:val="682158FB"/>
    <w:rsid w:val="682C134B"/>
    <w:rsid w:val="68355EAD"/>
    <w:rsid w:val="684E09CA"/>
    <w:rsid w:val="684E3A9C"/>
    <w:rsid w:val="68621E55"/>
    <w:rsid w:val="686B19FA"/>
    <w:rsid w:val="686C32C7"/>
    <w:rsid w:val="686D18F4"/>
    <w:rsid w:val="686F7BFC"/>
    <w:rsid w:val="68727C61"/>
    <w:rsid w:val="68782064"/>
    <w:rsid w:val="687A002D"/>
    <w:rsid w:val="68825691"/>
    <w:rsid w:val="689A312B"/>
    <w:rsid w:val="689F17B7"/>
    <w:rsid w:val="68A259A7"/>
    <w:rsid w:val="68A51722"/>
    <w:rsid w:val="68B27A3E"/>
    <w:rsid w:val="68BE1761"/>
    <w:rsid w:val="68CB1956"/>
    <w:rsid w:val="68EA04F8"/>
    <w:rsid w:val="68EE7418"/>
    <w:rsid w:val="690D74DA"/>
    <w:rsid w:val="690F592A"/>
    <w:rsid w:val="6913274D"/>
    <w:rsid w:val="69250329"/>
    <w:rsid w:val="692A7F3B"/>
    <w:rsid w:val="693567B4"/>
    <w:rsid w:val="693E2CA0"/>
    <w:rsid w:val="694651C0"/>
    <w:rsid w:val="694B5F41"/>
    <w:rsid w:val="6960498A"/>
    <w:rsid w:val="696609FE"/>
    <w:rsid w:val="69674AED"/>
    <w:rsid w:val="696962EF"/>
    <w:rsid w:val="69882D27"/>
    <w:rsid w:val="698867A6"/>
    <w:rsid w:val="69926167"/>
    <w:rsid w:val="699720D8"/>
    <w:rsid w:val="69993CB2"/>
    <w:rsid w:val="699B3C7B"/>
    <w:rsid w:val="699F221A"/>
    <w:rsid w:val="69A90ADE"/>
    <w:rsid w:val="69AC4B26"/>
    <w:rsid w:val="69B36094"/>
    <w:rsid w:val="69B53C31"/>
    <w:rsid w:val="69BA7387"/>
    <w:rsid w:val="69BD2603"/>
    <w:rsid w:val="69CA638E"/>
    <w:rsid w:val="69DC1438"/>
    <w:rsid w:val="69E5509B"/>
    <w:rsid w:val="69F162BE"/>
    <w:rsid w:val="69F342C5"/>
    <w:rsid w:val="69F439DE"/>
    <w:rsid w:val="6A111A9E"/>
    <w:rsid w:val="6A1368B4"/>
    <w:rsid w:val="6A1B132A"/>
    <w:rsid w:val="6A1B72AA"/>
    <w:rsid w:val="6A1E4DB9"/>
    <w:rsid w:val="6A277007"/>
    <w:rsid w:val="6A2C0BAA"/>
    <w:rsid w:val="6A35624C"/>
    <w:rsid w:val="6A36768F"/>
    <w:rsid w:val="6A4C7706"/>
    <w:rsid w:val="6A4D277D"/>
    <w:rsid w:val="6A4E75E1"/>
    <w:rsid w:val="6A526445"/>
    <w:rsid w:val="6A5556A4"/>
    <w:rsid w:val="6A586EA6"/>
    <w:rsid w:val="6A605DDA"/>
    <w:rsid w:val="6A6B298C"/>
    <w:rsid w:val="6A6C35D2"/>
    <w:rsid w:val="6A706DFD"/>
    <w:rsid w:val="6A727FB2"/>
    <w:rsid w:val="6A807B60"/>
    <w:rsid w:val="6A837D1F"/>
    <w:rsid w:val="6A843A9F"/>
    <w:rsid w:val="6A8F7452"/>
    <w:rsid w:val="6A944AB4"/>
    <w:rsid w:val="6AA87ECA"/>
    <w:rsid w:val="6AC97BA3"/>
    <w:rsid w:val="6ACE33C6"/>
    <w:rsid w:val="6AE52B64"/>
    <w:rsid w:val="6AE60600"/>
    <w:rsid w:val="6AEC20D6"/>
    <w:rsid w:val="6AF16405"/>
    <w:rsid w:val="6B032E43"/>
    <w:rsid w:val="6B0C5BA0"/>
    <w:rsid w:val="6B123DBE"/>
    <w:rsid w:val="6B1627A9"/>
    <w:rsid w:val="6B1B4ADD"/>
    <w:rsid w:val="6B1C3EC9"/>
    <w:rsid w:val="6B22561B"/>
    <w:rsid w:val="6B2F268C"/>
    <w:rsid w:val="6B315AAF"/>
    <w:rsid w:val="6B3F4AA7"/>
    <w:rsid w:val="6B6E49C8"/>
    <w:rsid w:val="6B847B8A"/>
    <w:rsid w:val="6B881F4D"/>
    <w:rsid w:val="6B8B156F"/>
    <w:rsid w:val="6B904BA8"/>
    <w:rsid w:val="6B9476C7"/>
    <w:rsid w:val="6B9A6EAE"/>
    <w:rsid w:val="6BB721A3"/>
    <w:rsid w:val="6BD0153C"/>
    <w:rsid w:val="6BD63B45"/>
    <w:rsid w:val="6BD6780F"/>
    <w:rsid w:val="6BE043B6"/>
    <w:rsid w:val="6BE475D6"/>
    <w:rsid w:val="6BEC3A64"/>
    <w:rsid w:val="6BEF3535"/>
    <w:rsid w:val="6BF72EE6"/>
    <w:rsid w:val="6BF82E2B"/>
    <w:rsid w:val="6BFA52D4"/>
    <w:rsid w:val="6C0F17D1"/>
    <w:rsid w:val="6C155B13"/>
    <w:rsid w:val="6C1C3DAB"/>
    <w:rsid w:val="6C1F1724"/>
    <w:rsid w:val="6C215061"/>
    <w:rsid w:val="6C275E16"/>
    <w:rsid w:val="6C3504E0"/>
    <w:rsid w:val="6C3A75B7"/>
    <w:rsid w:val="6C3C4B97"/>
    <w:rsid w:val="6C4378AB"/>
    <w:rsid w:val="6C6146F0"/>
    <w:rsid w:val="6C66643F"/>
    <w:rsid w:val="6C681393"/>
    <w:rsid w:val="6C7D1B83"/>
    <w:rsid w:val="6C822766"/>
    <w:rsid w:val="6C8B44D8"/>
    <w:rsid w:val="6C9551C8"/>
    <w:rsid w:val="6CA34B51"/>
    <w:rsid w:val="6CB02AC4"/>
    <w:rsid w:val="6CB06BD8"/>
    <w:rsid w:val="6CC1003C"/>
    <w:rsid w:val="6CC3672F"/>
    <w:rsid w:val="6CC4690F"/>
    <w:rsid w:val="6CC66C12"/>
    <w:rsid w:val="6CC70534"/>
    <w:rsid w:val="6CCD75A4"/>
    <w:rsid w:val="6CCE7793"/>
    <w:rsid w:val="6CD05BB0"/>
    <w:rsid w:val="6CE44996"/>
    <w:rsid w:val="6CE54F3F"/>
    <w:rsid w:val="6CFD30A2"/>
    <w:rsid w:val="6CFF02E4"/>
    <w:rsid w:val="6D121104"/>
    <w:rsid w:val="6D136917"/>
    <w:rsid w:val="6D164000"/>
    <w:rsid w:val="6D214766"/>
    <w:rsid w:val="6D2C1EED"/>
    <w:rsid w:val="6D2E5BE8"/>
    <w:rsid w:val="6D351CC1"/>
    <w:rsid w:val="6D355423"/>
    <w:rsid w:val="6D3C54DB"/>
    <w:rsid w:val="6D4C3E84"/>
    <w:rsid w:val="6D5578B4"/>
    <w:rsid w:val="6D5811B7"/>
    <w:rsid w:val="6D5E1000"/>
    <w:rsid w:val="6D5F2BC1"/>
    <w:rsid w:val="6D63064A"/>
    <w:rsid w:val="6D637913"/>
    <w:rsid w:val="6D66370E"/>
    <w:rsid w:val="6D6B77C5"/>
    <w:rsid w:val="6D6E47FD"/>
    <w:rsid w:val="6D736519"/>
    <w:rsid w:val="6D7E1D62"/>
    <w:rsid w:val="6D9632E7"/>
    <w:rsid w:val="6DBB2348"/>
    <w:rsid w:val="6DC200A0"/>
    <w:rsid w:val="6DD41270"/>
    <w:rsid w:val="6DD9160C"/>
    <w:rsid w:val="6DD93C25"/>
    <w:rsid w:val="6DDC71D6"/>
    <w:rsid w:val="6DED5D72"/>
    <w:rsid w:val="6DED65AC"/>
    <w:rsid w:val="6DEF04EF"/>
    <w:rsid w:val="6DF25A8E"/>
    <w:rsid w:val="6DFD1AA7"/>
    <w:rsid w:val="6E06396A"/>
    <w:rsid w:val="6E0A4BF1"/>
    <w:rsid w:val="6E0D61DC"/>
    <w:rsid w:val="6E165481"/>
    <w:rsid w:val="6E1867CA"/>
    <w:rsid w:val="6E192139"/>
    <w:rsid w:val="6E1D35E6"/>
    <w:rsid w:val="6E1E1E8D"/>
    <w:rsid w:val="6E22382B"/>
    <w:rsid w:val="6E232273"/>
    <w:rsid w:val="6E297029"/>
    <w:rsid w:val="6E2F0271"/>
    <w:rsid w:val="6E4F2F3F"/>
    <w:rsid w:val="6E542161"/>
    <w:rsid w:val="6E58196B"/>
    <w:rsid w:val="6E6201ED"/>
    <w:rsid w:val="6E630B36"/>
    <w:rsid w:val="6E6978C4"/>
    <w:rsid w:val="6E703DB9"/>
    <w:rsid w:val="6E73645D"/>
    <w:rsid w:val="6E7C2BE3"/>
    <w:rsid w:val="6E7C56EB"/>
    <w:rsid w:val="6E8A4E74"/>
    <w:rsid w:val="6E8A564E"/>
    <w:rsid w:val="6E97515E"/>
    <w:rsid w:val="6E9E3B8A"/>
    <w:rsid w:val="6EA16C68"/>
    <w:rsid w:val="6EAB0E95"/>
    <w:rsid w:val="6EB048F2"/>
    <w:rsid w:val="6EB45C22"/>
    <w:rsid w:val="6EC40181"/>
    <w:rsid w:val="6EC85EBD"/>
    <w:rsid w:val="6ECB7332"/>
    <w:rsid w:val="6ECD04A7"/>
    <w:rsid w:val="6ED9112D"/>
    <w:rsid w:val="6EE200F5"/>
    <w:rsid w:val="6EE4126F"/>
    <w:rsid w:val="6EE87571"/>
    <w:rsid w:val="6EEC4AF9"/>
    <w:rsid w:val="6EFB700E"/>
    <w:rsid w:val="6EFE7C56"/>
    <w:rsid w:val="6F046D74"/>
    <w:rsid w:val="6F064554"/>
    <w:rsid w:val="6F094612"/>
    <w:rsid w:val="6F21539B"/>
    <w:rsid w:val="6F220356"/>
    <w:rsid w:val="6F287209"/>
    <w:rsid w:val="6F2C7C3D"/>
    <w:rsid w:val="6F3C1D7F"/>
    <w:rsid w:val="6F3F7004"/>
    <w:rsid w:val="6F4268A1"/>
    <w:rsid w:val="6F495ADB"/>
    <w:rsid w:val="6F50385D"/>
    <w:rsid w:val="6F531633"/>
    <w:rsid w:val="6F5E428B"/>
    <w:rsid w:val="6F64467A"/>
    <w:rsid w:val="6F665BB5"/>
    <w:rsid w:val="6F6A1FE6"/>
    <w:rsid w:val="6F6B393A"/>
    <w:rsid w:val="6F757C81"/>
    <w:rsid w:val="6F790816"/>
    <w:rsid w:val="6F7E799C"/>
    <w:rsid w:val="6FA00BBA"/>
    <w:rsid w:val="6FA172EA"/>
    <w:rsid w:val="6FA3785A"/>
    <w:rsid w:val="6FB908A6"/>
    <w:rsid w:val="6FC40B0E"/>
    <w:rsid w:val="6FCB689E"/>
    <w:rsid w:val="6FCE1FC1"/>
    <w:rsid w:val="6FD02518"/>
    <w:rsid w:val="6FE54C40"/>
    <w:rsid w:val="6FE8696D"/>
    <w:rsid w:val="6FEA60C4"/>
    <w:rsid w:val="6FEB42B7"/>
    <w:rsid w:val="6FF02CC3"/>
    <w:rsid w:val="70097A35"/>
    <w:rsid w:val="701110D2"/>
    <w:rsid w:val="70123790"/>
    <w:rsid w:val="70136325"/>
    <w:rsid w:val="701877E1"/>
    <w:rsid w:val="701900E6"/>
    <w:rsid w:val="70191BB1"/>
    <w:rsid w:val="7019465C"/>
    <w:rsid w:val="702A10FC"/>
    <w:rsid w:val="702C134F"/>
    <w:rsid w:val="702E62E0"/>
    <w:rsid w:val="705E66D9"/>
    <w:rsid w:val="706452DB"/>
    <w:rsid w:val="706538CB"/>
    <w:rsid w:val="706972A9"/>
    <w:rsid w:val="706B4BD8"/>
    <w:rsid w:val="7074433D"/>
    <w:rsid w:val="707F652B"/>
    <w:rsid w:val="708C797F"/>
    <w:rsid w:val="709D0E15"/>
    <w:rsid w:val="70A301C0"/>
    <w:rsid w:val="70AC27E2"/>
    <w:rsid w:val="70B34FF3"/>
    <w:rsid w:val="70B94B3E"/>
    <w:rsid w:val="70BC5FED"/>
    <w:rsid w:val="70C92A65"/>
    <w:rsid w:val="70D44E98"/>
    <w:rsid w:val="70DC7ACF"/>
    <w:rsid w:val="70DF469A"/>
    <w:rsid w:val="70EA27B8"/>
    <w:rsid w:val="70EB2810"/>
    <w:rsid w:val="70EC059D"/>
    <w:rsid w:val="711A1B90"/>
    <w:rsid w:val="711E5FCC"/>
    <w:rsid w:val="71224CAE"/>
    <w:rsid w:val="713F7DA8"/>
    <w:rsid w:val="714E33E3"/>
    <w:rsid w:val="714E4D66"/>
    <w:rsid w:val="71502205"/>
    <w:rsid w:val="715213CA"/>
    <w:rsid w:val="71571882"/>
    <w:rsid w:val="71581782"/>
    <w:rsid w:val="71582A70"/>
    <w:rsid w:val="716174A0"/>
    <w:rsid w:val="716567A7"/>
    <w:rsid w:val="71707E5B"/>
    <w:rsid w:val="71720075"/>
    <w:rsid w:val="717B2AE2"/>
    <w:rsid w:val="718C5B54"/>
    <w:rsid w:val="71953675"/>
    <w:rsid w:val="719D6584"/>
    <w:rsid w:val="71A2198A"/>
    <w:rsid w:val="71A72DDD"/>
    <w:rsid w:val="71BF04C5"/>
    <w:rsid w:val="71D81805"/>
    <w:rsid w:val="71DA77AF"/>
    <w:rsid w:val="71EC42BA"/>
    <w:rsid w:val="71F87ECA"/>
    <w:rsid w:val="72052226"/>
    <w:rsid w:val="72154FA8"/>
    <w:rsid w:val="721628F6"/>
    <w:rsid w:val="7226125C"/>
    <w:rsid w:val="724A24B1"/>
    <w:rsid w:val="724E214D"/>
    <w:rsid w:val="72563A5D"/>
    <w:rsid w:val="72636B06"/>
    <w:rsid w:val="7264583D"/>
    <w:rsid w:val="727803AF"/>
    <w:rsid w:val="72823333"/>
    <w:rsid w:val="728305C4"/>
    <w:rsid w:val="7284592B"/>
    <w:rsid w:val="728C0229"/>
    <w:rsid w:val="729A397C"/>
    <w:rsid w:val="72A4060F"/>
    <w:rsid w:val="72B0371E"/>
    <w:rsid w:val="72B612C7"/>
    <w:rsid w:val="72B63631"/>
    <w:rsid w:val="72B64E64"/>
    <w:rsid w:val="72CA060E"/>
    <w:rsid w:val="72D40442"/>
    <w:rsid w:val="72DC5C8E"/>
    <w:rsid w:val="72E4249E"/>
    <w:rsid w:val="72E469A8"/>
    <w:rsid w:val="72EF575A"/>
    <w:rsid w:val="72F27CF9"/>
    <w:rsid w:val="72FB7BD9"/>
    <w:rsid w:val="730A7FB3"/>
    <w:rsid w:val="730B7934"/>
    <w:rsid w:val="73122806"/>
    <w:rsid w:val="73123A32"/>
    <w:rsid w:val="731748F8"/>
    <w:rsid w:val="73177C41"/>
    <w:rsid w:val="731D36F6"/>
    <w:rsid w:val="73225BBB"/>
    <w:rsid w:val="73390822"/>
    <w:rsid w:val="733A6BAC"/>
    <w:rsid w:val="733E4E11"/>
    <w:rsid w:val="735321C7"/>
    <w:rsid w:val="73555B0C"/>
    <w:rsid w:val="735B4BDB"/>
    <w:rsid w:val="735F0CCA"/>
    <w:rsid w:val="736306A4"/>
    <w:rsid w:val="737B0C22"/>
    <w:rsid w:val="7382596C"/>
    <w:rsid w:val="73825A1E"/>
    <w:rsid w:val="73850583"/>
    <w:rsid w:val="738C5E7C"/>
    <w:rsid w:val="73944A31"/>
    <w:rsid w:val="739A125C"/>
    <w:rsid w:val="739D318E"/>
    <w:rsid w:val="73A94EB6"/>
    <w:rsid w:val="73BE113C"/>
    <w:rsid w:val="73BE373F"/>
    <w:rsid w:val="73BE6CC6"/>
    <w:rsid w:val="73BF31EE"/>
    <w:rsid w:val="73CC2136"/>
    <w:rsid w:val="73D679C6"/>
    <w:rsid w:val="73EA5BB1"/>
    <w:rsid w:val="73EE5384"/>
    <w:rsid w:val="73F57F43"/>
    <w:rsid w:val="7401390F"/>
    <w:rsid w:val="74075226"/>
    <w:rsid w:val="740B06E4"/>
    <w:rsid w:val="74183FBF"/>
    <w:rsid w:val="741D416E"/>
    <w:rsid w:val="741D4950"/>
    <w:rsid w:val="742911FB"/>
    <w:rsid w:val="742A69D9"/>
    <w:rsid w:val="742D5653"/>
    <w:rsid w:val="743A5794"/>
    <w:rsid w:val="74420201"/>
    <w:rsid w:val="74440B3A"/>
    <w:rsid w:val="744C6780"/>
    <w:rsid w:val="74581A9F"/>
    <w:rsid w:val="746309E1"/>
    <w:rsid w:val="74844FAE"/>
    <w:rsid w:val="748A4120"/>
    <w:rsid w:val="74B2357E"/>
    <w:rsid w:val="74BA672F"/>
    <w:rsid w:val="74BE18CA"/>
    <w:rsid w:val="74C17A95"/>
    <w:rsid w:val="74D04498"/>
    <w:rsid w:val="74D60FC8"/>
    <w:rsid w:val="74F90679"/>
    <w:rsid w:val="7510465D"/>
    <w:rsid w:val="75153331"/>
    <w:rsid w:val="751675C6"/>
    <w:rsid w:val="751E234A"/>
    <w:rsid w:val="751F0A8D"/>
    <w:rsid w:val="75235B09"/>
    <w:rsid w:val="75282985"/>
    <w:rsid w:val="75283185"/>
    <w:rsid w:val="75291B23"/>
    <w:rsid w:val="752954AE"/>
    <w:rsid w:val="752B29FF"/>
    <w:rsid w:val="752C07A3"/>
    <w:rsid w:val="752D4A09"/>
    <w:rsid w:val="7541469F"/>
    <w:rsid w:val="754428C8"/>
    <w:rsid w:val="754B3C0C"/>
    <w:rsid w:val="75513061"/>
    <w:rsid w:val="755D74C1"/>
    <w:rsid w:val="75770F5F"/>
    <w:rsid w:val="758227CF"/>
    <w:rsid w:val="75832BCA"/>
    <w:rsid w:val="75844813"/>
    <w:rsid w:val="75893C86"/>
    <w:rsid w:val="758F2244"/>
    <w:rsid w:val="759A34B1"/>
    <w:rsid w:val="759C3AA9"/>
    <w:rsid w:val="75A94884"/>
    <w:rsid w:val="75AF669D"/>
    <w:rsid w:val="75B556D4"/>
    <w:rsid w:val="75C230C5"/>
    <w:rsid w:val="75D43CC1"/>
    <w:rsid w:val="75D7582E"/>
    <w:rsid w:val="75D963AF"/>
    <w:rsid w:val="75DF0059"/>
    <w:rsid w:val="75E16E65"/>
    <w:rsid w:val="75ED524B"/>
    <w:rsid w:val="75EE6DCC"/>
    <w:rsid w:val="75EF1555"/>
    <w:rsid w:val="75F37BF3"/>
    <w:rsid w:val="75F47ED1"/>
    <w:rsid w:val="75F63E19"/>
    <w:rsid w:val="75FD24A8"/>
    <w:rsid w:val="760B1DDD"/>
    <w:rsid w:val="760F20FF"/>
    <w:rsid w:val="7617254D"/>
    <w:rsid w:val="76175E3B"/>
    <w:rsid w:val="761B769E"/>
    <w:rsid w:val="76237331"/>
    <w:rsid w:val="76307C60"/>
    <w:rsid w:val="7631445C"/>
    <w:rsid w:val="763C129F"/>
    <w:rsid w:val="76435CC1"/>
    <w:rsid w:val="76440CAA"/>
    <w:rsid w:val="76485B5D"/>
    <w:rsid w:val="764B7977"/>
    <w:rsid w:val="76513B47"/>
    <w:rsid w:val="765B52C1"/>
    <w:rsid w:val="766B419D"/>
    <w:rsid w:val="766E72A6"/>
    <w:rsid w:val="76780212"/>
    <w:rsid w:val="7679531B"/>
    <w:rsid w:val="767D5F57"/>
    <w:rsid w:val="76847102"/>
    <w:rsid w:val="768E7666"/>
    <w:rsid w:val="769A4483"/>
    <w:rsid w:val="76AE5D79"/>
    <w:rsid w:val="76B2134D"/>
    <w:rsid w:val="76B244FA"/>
    <w:rsid w:val="76B70B6A"/>
    <w:rsid w:val="76BC008C"/>
    <w:rsid w:val="76C41697"/>
    <w:rsid w:val="76CB16C1"/>
    <w:rsid w:val="76D43443"/>
    <w:rsid w:val="76D6321E"/>
    <w:rsid w:val="76D91D3D"/>
    <w:rsid w:val="76E64C85"/>
    <w:rsid w:val="76F23F01"/>
    <w:rsid w:val="76F77E01"/>
    <w:rsid w:val="76FE1DB2"/>
    <w:rsid w:val="76FE6C6B"/>
    <w:rsid w:val="77064B9B"/>
    <w:rsid w:val="770A34B8"/>
    <w:rsid w:val="770F6BA0"/>
    <w:rsid w:val="77206E10"/>
    <w:rsid w:val="77257ADF"/>
    <w:rsid w:val="7738034A"/>
    <w:rsid w:val="774159B9"/>
    <w:rsid w:val="7746259A"/>
    <w:rsid w:val="7758481F"/>
    <w:rsid w:val="77596911"/>
    <w:rsid w:val="775C2FA4"/>
    <w:rsid w:val="776A25EA"/>
    <w:rsid w:val="77716B79"/>
    <w:rsid w:val="7782380D"/>
    <w:rsid w:val="778267B4"/>
    <w:rsid w:val="77880D1C"/>
    <w:rsid w:val="779B1AC5"/>
    <w:rsid w:val="779D0E2B"/>
    <w:rsid w:val="779D33DE"/>
    <w:rsid w:val="77A649CC"/>
    <w:rsid w:val="77AB296E"/>
    <w:rsid w:val="77AF689F"/>
    <w:rsid w:val="77C24493"/>
    <w:rsid w:val="77C667FA"/>
    <w:rsid w:val="77E8657E"/>
    <w:rsid w:val="77EC2897"/>
    <w:rsid w:val="77EC61FD"/>
    <w:rsid w:val="77F36806"/>
    <w:rsid w:val="77F93B4C"/>
    <w:rsid w:val="77FB755F"/>
    <w:rsid w:val="77FD7E5B"/>
    <w:rsid w:val="78007DD2"/>
    <w:rsid w:val="78017245"/>
    <w:rsid w:val="780711CF"/>
    <w:rsid w:val="7816048A"/>
    <w:rsid w:val="781D6253"/>
    <w:rsid w:val="781F4150"/>
    <w:rsid w:val="78243C5C"/>
    <w:rsid w:val="782D4D7A"/>
    <w:rsid w:val="782E0619"/>
    <w:rsid w:val="78341D15"/>
    <w:rsid w:val="783600D3"/>
    <w:rsid w:val="783E732E"/>
    <w:rsid w:val="785B5C54"/>
    <w:rsid w:val="78607115"/>
    <w:rsid w:val="7862169D"/>
    <w:rsid w:val="78665EC5"/>
    <w:rsid w:val="78667A5E"/>
    <w:rsid w:val="786F1193"/>
    <w:rsid w:val="78894490"/>
    <w:rsid w:val="789427AB"/>
    <w:rsid w:val="78A2613D"/>
    <w:rsid w:val="78A86312"/>
    <w:rsid w:val="78AC7BCA"/>
    <w:rsid w:val="78B46940"/>
    <w:rsid w:val="78B65B43"/>
    <w:rsid w:val="78C25358"/>
    <w:rsid w:val="78C7544A"/>
    <w:rsid w:val="78CF30ED"/>
    <w:rsid w:val="78D0766D"/>
    <w:rsid w:val="78D307AD"/>
    <w:rsid w:val="78D65C6E"/>
    <w:rsid w:val="78D96C93"/>
    <w:rsid w:val="78DE17FF"/>
    <w:rsid w:val="78DF32FC"/>
    <w:rsid w:val="78E10E4C"/>
    <w:rsid w:val="78E475E3"/>
    <w:rsid w:val="78E82857"/>
    <w:rsid w:val="78EC0811"/>
    <w:rsid w:val="78ED022E"/>
    <w:rsid w:val="78F73DDA"/>
    <w:rsid w:val="78F8038E"/>
    <w:rsid w:val="78F904C1"/>
    <w:rsid w:val="79014CF7"/>
    <w:rsid w:val="79156572"/>
    <w:rsid w:val="791C7A87"/>
    <w:rsid w:val="791F23FF"/>
    <w:rsid w:val="791F509F"/>
    <w:rsid w:val="793A5986"/>
    <w:rsid w:val="794A2DB6"/>
    <w:rsid w:val="794F3D94"/>
    <w:rsid w:val="79500EFE"/>
    <w:rsid w:val="79582347"/>
    <w:rsid w:val="795C5CE4"/>
    <w:rsid w:val="795F678D"/>
    <w:rsid w:val="79695CBD"/>
    <w:rsid w:val="796B3F9B"/>
    <w:rsid w:val="796D254C"/>
    <w:rsid w:val="796E3B22"/>
    <w:rsid w:val="797411B9"/>
    <w:rsid w:val="797722DC"/>
    <w:rsid w:val="797F4635"/>
    <w:rsid w:val="79814B20"/>
    <w:rsid w:val="79956EDD"/>
    <w:rsid w:val="799A60BD"/>
    <w:rsid w:val="799E0359"/>
    <w:rsid w:val="79A00238"/>
    <w:rsid w:val="79A47E57"/>
    <w:rsid w:val="79AE2CC1"/>
    <w:rsid w:val="79B262D5"/>
    <w:rsid w:val="79B56C9E"/>
    <w:rsid w:val="79B81320"/>
    <w:rsid w:val="79B835C4"/>
    <w:rsid w:val="79C07901"/>
    <w:rsid w:val="79C36C17"/>
    <w:rsid w:val="79C744E8"/>
    <w:rsid w:val="79D9428A"/>
    <w:rsid w:val="79DE10B9"/>
    <w:rsid w:val="79E078FE"/>
    <w:rsid w:val="79F45E85"/>
    <w:rsid w:val="79F76D90"/>
    <w:rsid w:val="7A09415C"/>
    <w:rsid w:val="7A097A9F"/>
    <w:rsid w:val="7A115D4E"/>
    <w:rsid w:val="7A1215DC"/>
    <w:rsid w:val="7A144657"/>
    <w:rsid w:val="7A197BB7"/>
    <w:rsid w:val="7A37681E"/>
    <w:rsid w:val="7A3B3833"/>
    <w:rsid w:val="7A3E1C24"/>
    <w:rsid w:val="7A4835E8"/>
    <w:rsid w:val="7A4A1DF7"/>
    <w:rsid w:val="7A4A2BD3"/>
    <w:rsid w:val="7A590517"/>
    <w:rsid w:val="7A5D6653"/>
    <w:rsid w:val="7A7435CB"/>
    <w:rsid w:val="7A77304A"/>
    <w:rsid w:val="7A7B2154"/>
    <w:rsid w:val="7A8164E5"/>
    <w:rsid w:val="7A840A2F"/>
    <w:rsid w:val="7A8E2528"/>
    <w:rsid w:val="7A9224FE"/>
    <w:rsid w:val="7AB52AA8"/>
    <w:rsid w:val="7ABC3BA6"/>
    <w:rsid w:val="7AC04D3D"/>
    <w:rsid w:val="7ACB79DF"/>
    <w:rsid w:val="7AD11498"/>
    <w:rsid w:val="7AE46935"/>
    <w:rsid w:val="7AEA5A59"/>
    <w:rsid w:val="7AF9066B"/>
    <w:rsid w:val="7AFE619E"/>
    <w:rsid w:val="7B02493E"/>
    <w:rsid w:val="7B044A3E"/>
    <w:rsid w:val="7B1B2B7A"/>
    <w:rsid w:val="7B237F4E"/>
    <w:rsid w:val="7B275DC7"/>
    <w:rsid w:val="7B2B4B98"/>
    <w:rsid w:val="7B302190"/>
    <w:rsid w:val="7B366E8C"/>
    <w:rsid w:val="7B382F93"/>
    <w:rsid w:val="7B391549"/>
    <w:rsid w:val="7B51313A"/>
    <w:rsid w:val="7B5176D7"/>
    <w:rsid w:val="7B533539"/>
    <w:rsid w:val="7B5864AC"/>
    <w:rsid w:val="7B5E0A81"/>
    <w:rsid w:val="7B5E1D7E"/>
    <w:rsid w:val="7B5F53BF"/>
    <w:rsid w:val="7B674B95"/>
    <w:rsid w:val="7B682240"/>
    <w:rsid w:val="7B6F021A"/>
    <w:rsid w:val="7B712770"/>
    <w:rsid w:val="7B813CBC"/>
    <w:rsid w:val="7B85301F"/>
    <w:rsid w:val="7B8E7066"/>
    <w:rsid w:val="7B9C4EB4"/>
    <w:rsid w:val="7BA02670"/>
    <w:rsid w:val="7BA03CCC"/>
    <w:rsid w:val="7BA337AA"/>
    <w:rsid w:val="7BB35EBE"/>
    <w:rsid w:val="7BBA1F44"/>
    <w:rsid w:val="7BBC6097"/>
    <w:rsid w:val="7BC303E4"/>
    <w:rsid w:val="7BC60E51"/>
    <w:rsid w:val="7BC67077"/>
    <w:rsid w:val="7BE672C5"/>
    <w:rsid w:val="7BF03E5D"/>
    <w:rsid w:val="7BF56AC9"/>
    <w:rsid w:val="7BFA2E01"/>
    <w:rsid w:val="7C2442F9"/>
    <w:rsid w:val="7C3F2388"/>
    <w:rsid w:val="7C457F23"/>
    <w:rsid w:val="7C5667A2"/>
    <w:rsid w:val="7C5D07DA"/>
    <w:rsid w:val="7C621795"/>
    <w:rsid w:val="7C694CA9"/>
    <w:rsid w:val="7C6C6855"/>
    <w:rsid w:val="7C710497"/>
    <w:rsid w:val="7C7B7960"/>
    <w:rsid w:val="7C814E57"/>
    <w:rsid w:val="7C842FC6"/>
    <w:rsid w:val="7C930EE6"/>
    <w:rsid w:val="7C9E7157"/>
    <w:rsid w:val="7CA21CA8"/>
    <w:rsid w:val="7CA53A41"/>
    <w:rsid w:val="7CA61D32"/>
    <w:rsid w:val="7CAC5A08"/>
    <w:rsid w:val="7CB27D16"/>
    <w:rsid w:val="7CC01BDF"/>
    <w:rsid w:val="7CCD01EF"/>
    <w:rsid w:val="7CD802AD"/>
    <w:rsid w:val="7CE410CE"/>
    <w:rsid w:val="7CF24A77"/>
    <w:rsid w:val="7D097768"/>
    <w:rsid w:val="7D0E41B0"/>
    <w:rsid w:val="7D123DF0"/>
    <w:rsid w:val="7D1313D8"/>
    <w:rsid w:val="7D164322"/>
    <w:rsid w:val="7D260544"/>
    <w:rsid w:val="7D2A76C9"/>
    <w:rsid w:val="7D2C5FCD"/>
    <w:rsid w:val="7D396396"/>
    <w:rsid w:val="7D3A4538"/>
    <w:rsid w:val="7D3C6B50"/>
    <w:rsid w:val="7D455169"/>
    <w:rsid w:val="7D551C04"/>
    <w:rsid w:val="7D553764"/>
    <w:rsid w:val="7D626246"/>
    <w:rsid w:val="7D650CF4"/>
    <w:rsid w:val="7D686F2E"/>
    <w:rsid w:val="7D6C0204"/>
    <w:rsid w:val="7D6F31DD"/>
    <w:rsid w:val="7D753A51"/>
    <w:rsid w:val="7D7B6824"/>
    <w:rsid w:val="7D834475"/>
    <w:rsid w:val="7D865931"/>
    <w:rsid w:val="7D8672C9"/>
    <w:rsid w:val="7D88153F"/>
    <w:rsid w:val="7D9D56E8"/>
    <w:rsid w:val="7D9E646B"/>
    <w:rsid w:val="7DA030E8"/>
    <w:rsid w:val="7DA85E7C"/>
    <w:rsid w:val="7DAF3F0B"/>
    <w:rsid w:val="7DB82F14"/>
    <w:rsid w:val="7DBC14DD"/>
    <w:rsid w:val="7DCE66D1"/>
    <w:rsid w:val="7DD07BE7"/>
    <w:rsid w:val="7DE251E9"/>
    <w:rsid w:val="7DFB12B6"/>
    <w:rsid w:val="7E0E0FAF"/>
    <w:rsid w:val="7E15502D"/>
    <w:rsid w:val="7E191A49"/>
    <w:rsid w:val="7E1B6AD0"/>
    <w:rsid w:val="7E1D36F5"/>
    <w:rsid w:val="7E1E5CF9"/>
    <w:rsid w:val="7E2D2FD1"/>
    <w:rsid w:val="7E51129A"/>
    <w:rsid w:val="7E514B00"/>
    <w:rsid w:val="7E517B83"/>
    <w:rsid w:val="7E575369"/>
    <w:rsid w:val="7E581720"/>
    <w:rsid w:val="7E592E6E"/>
    <w:rsid w:val="7E5A4FD2"/>
    <w:rsid w:val="7E727B75"/>
    <w:rsid w:val="7E744036"/>
    <w:rsid w:val="7E757AF7"/>
    <w:rsid w:val="7E7A711F"/>
    <w:rsid w:val="7E7D5448"/>
    <w:rsid w:val="7E7E6921"/>
    <w:rsid w:val="7E833662"/>
    <w:rsid w:val="7E8343AD"/>
    <w:rsid w:val="7E853851"/>
    <w:rsid w:val="7E873F5B"/>
    <w:rsid w:val="7E877CED"/>
    <w:rsid w:val="7E8A5BA1"/>
    <w:rsid w:val="7E8A75DA"/>
    <w:rsid w:val="7E9D0713"/>
    <w:rsid w:val="7E9E4582"/>
    <w:rsid w:val="7EAA50AD"/>
    <w:rsid w:val="7EAC102F"/>
    <w:rsid w:val="7EB14263"/>
    <w:rsid w:val="7EC3150E"/>
    <w:rsid w:val="7EDA143E"/>
    <w:rsid w:val="7EDD6824"/>
    <w:rsid w:val="7EE127C8"/>
    <w:rsid w:val="7EEC7760"/>
    <w:rsid w:val="7F091A42"/>
    <w:rsid w:val="7F14706E"/>
    <w:rsid w:val="7F1A4407"/>
    <w:rsid w:val="7F1B511A"/>
    <w:rsid w:val="7F1D3723"/>
    <w:rsid w:val="7F355092"/>
    <w:rsid w:val="7F405483"/>
    <w:rsid w:val="7F417B69"/>
    <w:rsid w:val="7F5127F8"/>
    <w:rsid w:val="7F516F67"/>
    <w:rsid w:val="7F5325F0"/>
    <w:rsid w:val="7F5B201D"/>
    <w:rsid w:val="7F6B08C8"/>
    <w:rsid w:val="7F6F6CED"/>
    <w:rsid w:val="7F735319"/>
    <w:rsid w:val="7FA45F84"/>
    <w:rsid w:val="7FAB51F9"/>
    <w:rsid w:val="7FB24872"/>
    <w:rsid w:val="7FBD7CD7"/>
    <w:rsid w:val="7FCC08D8"/>
    <w:rsid w:val="7FCF0987"/>
    <w:rsid w:val="7FCF71C2"/>
    <w:rsid w:val="7FDE26C5"/>
    <w:rsid w:val="7FEB71CB"/>
    <w:rsid w:val="7FFC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unhideWhenUsed/>
    <w:qFormat/>
    <w:uiPriority w:val="99"/>
    <w:rPr>
      <w:sz w:val="18"/>
    </w:rPr>
  </w:style>
  <w:style w:type="paragraph" w:customStyle="1" w:styleId="6">
    <w:name w:val="正文 + (中文) 仿宋_GB2312"/>
    <w:basedOn w:val="1"/>
    <w:qFormat/>
    <w:uiPriority w:val="0"/>
    <w:pPr>
      <w:adjustRightInd w:val="0"/>
      <w:snapToGrid w:val="0"/>
      <w:spacing w:line="560" w:lineRule="exact"/>
    </w:pPr>
    <w:rPr>
      <w:rFonts w:eastAsia="仿宋_GB2312"/>
      <w:sz w:val="30"/>
      <w:szCs w:val="30"/>
    </w:rPr>
  </w:style>
  <w:style w:type="paragraph" w:customStyle="1" w:styleId="7">
    <w:name w:val="标准正文"/>
    <w:qFormat/>
    <w:uiPriority w:val="99"/>
    <w:pPr>
      <w:spacing w:line="360" w:lineRule="auto"/>
      <w:ind w:firstLine="200" w:firstLineChars="200"/>
      <w:jc w:val="both"/>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2026-04-01T06:58:00Z</dcterms:created>
  <dc:creator>江杨</dc:creator>
  <cp:lastModifiedBy> </cp:lastModifiedBy>
  <dcterms:modified xsi:type="dcterms:W3CDTF">2026-04-02T01:04:36Z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C34ECA8B7960432F8470446B52D1556D</vt:lpwstr>
  </property>
</Properties>
</file>