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562" w:firstLineChars="200"/>
        <w:jc w:val="center"/>
        <w:textAlignment w:val="auto"/>
        <w:rPr>
          <w:rFonts w:hint="eastAsia" w:ascii="宋体" w:hAnsi="宋体" w:eastAsia="宋体" w:cs="宋体"/>
          <w:b/>
          <w:bCs/>
          <w:i w:val="0"/>
          <w:iCs w:val="0"/>
          <w:caps w:val="0"/>
          <w:color w:val="333333"/>
          <w:spacing w:val="0"/>
          <w:sz w:val="28"/>
          <w:szCs w:val="28"/>
          <w:shd w:val="clear" w:color="auto" w:fill="FFFFFF"/>
        </w:rPr>
      </w:pPr>
      <w:bookmarkStart w:id="0" w:name="_GoBack"/>
      <w:bookmarkEnd w:id="0"/>
      <w:r>
        <w:rPr>
          <w:rFonts w:hint="eastAsia" w:ascii="宋体" w:hAnsi="宋体" w:eastAsia="宋体" w:cs="宋体"/>
          <w:b/>
          <w:bCs/>
          <w:i w:val="0"/>
          <w:iCs w:val="0"/>
          <w:caps w:val="0"/>
          <w:color w:val="333333"/>
          <w:spacing w:val="0"/>
          <w:sz w:val="28"/>
          <w:szCs w:val="28"/>
          <w:shd w:val="clear" w:color="auto" w:fill="FFFFFF"/>
        </w:rPr>
        <w:t>基金产品风险等级明细表</w:t>
      </w:r>
    </w:p>
    <w:tbl>
      <w:tblPr>
        <w:tblStyle w:val="3"/>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176"/>
        <w:gridCol w:w="2856"/>
        <w:gridCol w:w="2856"/>
        <w:gridCol w:w="14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808080"/>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产品代码</w:t>
            </w:r>
          </w:p>
        </w:tc>
        <w:tc>
          <w:tcPr>
            <w:tcW w:w="0" w:type="auto"/>
            <w:tcBorders>
              <w:top w:val="single" w:color="000000" w:sz="4" w:space="0"/>
              <w:left w:val="single" w:color="000000" w:sz="4" w:space="0"/>
              <w:bottom w:val="single" w:color="000000" w:sz="4" w:space="0"/>
              <w:right w:val="single" w:color="000000" w:sz="4" w:space="0"/>
            </w:tcBorders>
            <w:shd w:val="clear" w:color="auto" w:fill="808080"/>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产品名称</w:t>
            </w:r>
          </w:p>
        </w:tc>
        <w:tc>
          <w:tcPr>
            <w:tcW w:w="0" w:type="auto"/>
            <w:tcBorders>
              <w:top w:val="single" w:color="000000" w:sz="4" w:space="0"/>
              <w:left w:val="single" w:color="000000" w:sz="4" w:space="0"/>
              <w:bottom w:val="single" w:color="000000" w:sz="4" w:space="0"/>
              <w:right w:val="single" w:color="000000" w:sz="4" w:space="0"/>
            </w:tcBorders>
            <w:shd w:val="clear" w:color="auto" w:fill="808080"/>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产品管理人</w:t>
            </w:r>
          </w:p>
        </w:tc>
        <w:tc>
          <w:tcPr>
            <w:tcW w:w="0" w:type="auto"/>
            <w:tcBorders>
              <w:top w:val="single" w:color="000000" w:sz="4" w:space="0"/>
              <w:left w:val="single" w:color="000000" w:sz="4" w:space="0"/>
              <w:bottom w:val="single" w:color="000000" w:sz="4" w:space="0"/>
              <w:right w:val="single" w:color="000000" w:sz="4" w:space="0"/>
            </w:tcBorders>
            <w:shd w:val="clear" w:color="auto" w:fill="808080"/>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风险等级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688888</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浙商聚潮产业成长</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浙商基金管理有限公司</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5:高风险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630109</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华商稳定增利B</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华商基金管理有限公司</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3:中风险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630107</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华商稳健双利B</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华商基金管理有限公司</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3:中风险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630103</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华商收益增强B</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华商基金管理有限公司</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3:中风险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630011</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华商主题精选</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华商基金管理有限公司</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5:高风险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630010</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华商价值精选</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华商基金管理有限公司</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5:高风险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630009</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华商稳定增利A</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华商基金管理有限公司</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3:中风险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630008</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华商策略精选</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华商基金管理有限公司</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5:高风险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630007</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华商稳健双利A</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华商基金管理有限公司</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3:中风险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630006</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华商产业升级</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华商基金管理有限公司</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5:高风险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630005</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华商阿尔法</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华商基金管理有限公司</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5:高风险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630003</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华商收益增强A</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华商基金管理有限公司</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2:中低风险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630002</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华商盛世成长</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华商基金管理有限公司</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5:高风险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630001</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华商领先企业</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华商基金管理有限公司</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5:高风险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420108</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天弘债券发起式B</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天弘基金管理有限公司</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2:中低风险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420106</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天弘现金管家货币B</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天弘基金管理有限公司</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1:低风险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420102</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天弘永利债券B</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天弘基金管理有限公司</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2:中低风险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420009</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天弘安康养老</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天弘基金管理有限公司</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3:中风险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420008</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天弘债券发起式A</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天弘基金管理有限公司</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2:中低风险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420006</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天弘现金管家货币A</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天弘基金管理有限公司</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1:低风险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420002</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天弘永利债券A</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天弘基金管理有限公司</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3:中风险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360018</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光大添天利B</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光大保德信基金管理公司</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2:中低风险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360017</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光大添天利A</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光大保德信基金管理公司</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2:中低风险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360016</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光大行业轮动</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光大保德信基金管理公司</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5:高风险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360014</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光大添益C</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光大保德信基金管理公司</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3:中风险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360013</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光大添益A</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光大保德信基金管理公司</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3:中风险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360012</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光大中小盘</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光大保德信基金管理公司</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5:高风险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360011</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光大配置</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光大保德信基金管理公司</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5:高风险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360010</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光大均衡精选</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光大保德信基金管理公司</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5:高风险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360009</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光大增利C</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光大保德信基金管理公司</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3:中风险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360008</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光大增利A</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光大保德信基金管理公司</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3:中风险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360007</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光大优势配置</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光大保德信基金管理公司</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5:高风险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360006</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光大新增长</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光大保德信基金管理公司</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5:高风险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360005</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光大保德信红利</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光大保德信基金管理公司</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5:高风险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360003</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光大货币</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光大保德信基金管理公司</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2:中低风险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360001</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光大量化核心</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光大保德信基金管理公司</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5:高风险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270028</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广发制造业精选</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广发基金管理有限公司</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5:高风险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270026</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广发中小板300联接</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广发基金管理有限公司</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5:高风险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270025</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广发行业领先</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广发基金管理有限公司</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5:高风险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270023</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广发亚太精选</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广发基金管理有限公司</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5:高风险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270022</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广发内需增长</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广发基金管理有限公司</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5:高风险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270021</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广发聚瑞</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广发基金管理有限公司</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5:高风险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270017</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广发大盘成长（后）</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广发基金管理有限公司</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5:高风险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270016</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广发策略优选（后）</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广发基金管理有限公司</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4:中高风险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270015</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广发聚丰（后）</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广发基金管理有限公司</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5:高风险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270014</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广发货币B</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广发基金管理有限公司</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2:中低风险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270012</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广发稳健增长（后）</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广发基金管理有限公司</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4:中高风险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270011</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广发聚富（后）</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广发基金管理有限公司</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4:中高风险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270010</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广发沪深300</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广发基金管理有限公司</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5:高风险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270009</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广发增强债券</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广发基金管理有限公司</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2:中低风险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270008</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广发核心精选</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广发基金管理有限公司</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5:高风险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270007</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广发大盘成长（前）</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广发基金管理有限公司</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5:高风险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270006</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广发策略优选（前）</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广发基金管理有限公司</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4:中高风险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270005</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广发聚丰（前）</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广发基金管理有限公司</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5:高风险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270004</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广发货币A</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广发基金管理有限公司</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2:中低风险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270002</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广发稳健增长（前）</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广发基金管理有限公司</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4:中高风险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270001</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广发聚富（前）</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广发基金管理有限公司</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4:中高风险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183001</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银华全球核心优选</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银华基金管理有限公司</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5:高风险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180031</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银华中小盘精选</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银华基金管理有限公司</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5:高风险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180030</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银华永泰积极债券C类</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银华基金管理有限公司</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4:中高风险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180029</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银华永泰积极债券A类</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银华基金管理有限公司</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4:中高风险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180028</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银华永祥保本</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银华基金管理有限公司</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3:中风险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180026</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银华信用双利债券C</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银华基金管理有限公司</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4:中高风险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180025</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银华信用双利债券A</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银华基金管理有限公司</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3:中风险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180020</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银华成长先锋</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银华基金管理有限公司</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5:高风险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180018</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银华和谐主题</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银华基金管理有限公司</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5:高风险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180015</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银华增强收益债券</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银华基金管理有限公司</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2:中低风险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180013</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银华领先策略</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银华基金管理有限公司</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5:高风险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180012</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银华裕富主题</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银华基金管理有限公司</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5:高风险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180010</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银华优质增长</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银华基金管理有限公司</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5:高风险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180009</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银华货币B</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银华基金管理有限公司</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2:中低风险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180008</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银华货币A</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银华基金管理有限公司</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2:中低风险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180003</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银华道琼斯88</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银华基金管理有限公司</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5:高风险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180002</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银华保本增值</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银华基金管理有限公司</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3:中风险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180001</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银华优势企业</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银华基金管理有限公司</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4:中高风险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118002</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易方达全球高端消费</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易方达基金管理有限公司</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5:高风险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118001</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易方达亚洲精选</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易方达基金管理有限公司</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5:高风险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112002</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易方达策略二号</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易方达基金管理有限公司</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4:中高风险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110038</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易方达纯债C</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易方达基金管理有限公司</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2:中低风险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110037</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易方达纯债A</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易方达基金管理有限公司</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2:中低风险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110036</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易方达双债增强C</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易方达基金管理有限公司</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3:中风险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110035</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易方达双债增强A</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易方达基金管理有限公司</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3:中风险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110031</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易方达H股ETF联接</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易方达基金管理有限公司</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5:高风险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110030</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易方达沪深300量化</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易方达基金管理有限公司</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5:高风险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110029</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易方达科讯</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易方达基金管理有限公司</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5:高风险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110028</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易方达安心回报债券B</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易方达基金管理有限公司</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2:中低风险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110027</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易方达安心回报债券A</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易方达基金管理有限公司</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2:中低风险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110026</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易方达创业板ETF联接</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易方达基金管理有限公司</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5:高风险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110025</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易方达资源行业</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易方达基金管理有限公司</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5:高风险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110023</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易方达医疗行业</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易方达基金管理有限公司</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5:高风险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110022</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易方达消费行业</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易方达基金管理有限公司</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5:高风险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110021</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易方达中盘ETF联接</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易方达基金管理有限公司</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5:高风险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110020</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易方达沪深300ETF联接</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易方达基金管理有限公司</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5:高风险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110019</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易方达深证100ETF联接</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易方达基金管理有限公司</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5:高风险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110018</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易方达增强回报B</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易方达基金管理有限公司</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3:中风险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110017</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易方达增强回报A</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易方达基金管理有限公司</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3:中风险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110016</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易方达货币B</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易方达基金管理有限公司</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1:低风险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110015</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易方达行业领先</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易方达基金管理有限公司</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5:高风险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110013</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易方达科翔</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易方达基金管理有限公司</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5:高风险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110012</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易方达科汇</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易方达基金管理有限公司</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4:中高风险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110011</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易方达中小盘</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易方达基金管理有限公司</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5:高风险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110010</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易方达价值成长</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易方达基金管理有限公司</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5:高风险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110009</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易方达价值精选</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易方达基金管理有限公司</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5:高风险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110008</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易方达稳健收益B</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易方达基金管理有限公司</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2:中低风险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110007</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易方达稳健收益A</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易方达基金管理有限公司</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2:中低风险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110006</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易方达货币A</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易方达基金管理有限公司</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1:低风险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110005</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易方达积极成长</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易方达基金管理有限公司</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4:中高风险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110003</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易方达50指数</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易方达基金管理有限公司</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5:高风险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110002</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易方达策略成长</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易方达基金管理有限公司</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4:中高风险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110001</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易方达平稳增长</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易方达基金管理有限公司</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4:中高风险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070099</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嘉实优质</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嘉实基金管理有限公司</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5:高风险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070088</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嘉实货币B</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嘉实基金管理有限公司</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2:中低风险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070029</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嘉实安心货币B</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嘉实基金管理有限公司</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2:中低风险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070028</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嘉实安心货币A</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嘉实基金管理有限公司</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2:中低风险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070027</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嘉实周期优选</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嘉实基金管理有限公司</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5:高风险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070026</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嘉实信用（C）</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嘉实基金管理有限公司</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3:中风险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070025</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嘉实信用（A）</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嘉实基金管理有限公司</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3:中风险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070023</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深圳基本面120ETF联接</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嘉实基金管理有限公司</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5:高风险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070021</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嘉实主题新动力</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嘉实基金管理有限公司</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5:高风险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070020</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嘉实稳固收益债券</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嘉实基金管理有限公司</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3:中风险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070019</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嘉实价值优势</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嘉实基金管理有限公司</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5:高风险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070018</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嘉实回报</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嘉实基金管理有限公司</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4:中高风险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070017</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嘉实量化</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嘉实基金管理有限公司</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5:高风险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070016</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嘉实多元B</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嘉实基金管理有限公司</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2:中低风险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070015</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嘉实多元A</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嘉实基金管理有限公司</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2:中低风险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070013</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嘉实研究精选</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嘉实基金管理有限公司</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5:高风险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070012</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嘉实海外</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嘉实基金管理有限公司</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5:高风险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070011</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嘉实策略增长</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嘉实基金管理有限公司</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5:高风险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070010</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嘉实主题精选</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嘉实基金管理有限公司</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4:中高风险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070009</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嘉实超短债</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嘉实基金管理有限公司</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3:中风险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070008</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嘉实货币A</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嘉实基金管理有限公司</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2:中低风险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070006</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嘉实服务增值</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嘉实基金管理有限公司</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5:高风险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070005</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嘉实理财债券</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嘉实基金管理有限公司</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2:中低风险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070003</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嘉实理财稳健</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嘉实基金管理有限公司</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4:中高风险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070002</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嘉实理财增长</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嘉实基金管理有限公司</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4:中高风险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070001</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嘉实成长收益</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嘉实基金管理有限公司</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4:中高风险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051201</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博时价值增长贰号后</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博时基金管理有限公司</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4:中高风险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051106</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博时稳定价值A后</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博时基金管理有限公司</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3:中风险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051016</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博时宏观回报债券B类</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博时基金管理有限公司</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4:中高风险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051014</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博时创业成长股票后</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博时基金管理有限公司</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5:高风险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051011</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博时信用债券基金B类</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博时基金管理有限公司</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3:中风险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051010</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博时特许价值后收费</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博时基金管理有限公司</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5:高风险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051001</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博时价值增长基金后</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博时基金管理有限公司</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5:高风险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050201</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博时价值增长贰号前</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博时基金管理有限公司</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4:中高风险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050119</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博时转债增强债券C类</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博时基金管理有限公司</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4:中高风险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050116</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博时宏观回报债券C类</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博时基金管理有限公司</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4:中高风险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050111</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博时信用债券基金C类</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博时基金管理有限公司</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3:中风险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050106</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博时稳定价值A前</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博时基金管理有限公司</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3:中风险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050022</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博时回报灵活配置</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博时基金管理有限公司</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5:高风险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050019</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博时转债增强债券A类</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博时基金管理有限公司</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4:中高风险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050018</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博时行业轮动股票</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博时基金管理有限公司</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5:高风险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050016</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博时宏观回报债券A类</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博时基金管理有限公司</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4:中高风险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050015</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博时大中华亚太精选</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博时基金管理有限公司</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5:高风险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050014</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博时创业成长股票前</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博时基金管理有限公司</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5:高风险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050013</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博时上证超大盘ETF</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博时基金管理有限公司</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5:高风险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050012</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博时策略配置</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博时基金管理有限公司</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5:高风险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050011</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博时信用债券基金A类</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博时基金管理有限公司</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3:中风险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050010</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博时特许价值基金前</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博时基金管理有限公司</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5:高风险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050009</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博时新兴成长基金</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博时基金管理有限公司</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5:高风险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050008</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博时第三产业基金</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博时基金管理有限公司</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5:高风险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050007</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博时平衡基金</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博时基金管理有限公司</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5:高风险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050006</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博时稳定价值基金B</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博时基金管理有限公司</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3:中风险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050004</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博时精选基金</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博时基金管理有限公司</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5:高风险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050003</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博时现金收益基金</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博时基金管理有限公司</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2:中低风险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050002</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博时裕富沪深300基金</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博时基金管理有限公司</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5:高风险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050001</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博时价值增长基金前</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博时基金管理有限公司</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5:高风险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041003</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华安现金富利B</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华安基金管理有限公司</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2:中低风险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040190</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华安上证龙头企业</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华安基金管理有限公司</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5:高风险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040180</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华安上证180</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华安基金管理有限公司</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5:高风险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040019</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华安稳固收益</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华安基金管理有限公司</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3:中风险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040018</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华安香港精选</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华安基金管理有限公司</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5:高风险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040016</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华安行业轮动</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华安基金管理有限公司</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5:高风险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040015</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华安灵活配置</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华安基金管理有限公司</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4:中高风险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040013</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华安强化收益B类</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华安基金管理有限公司</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3:中风险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040012</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华安强化收益</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华安基金管理有限公司</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3:中风险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040011</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华安核心优选</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华安基金管理有限公司</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5:高风险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040010</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华安稳定收益B类</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华安基金管理有限公司</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2:中低风险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040009</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华安稳定收益</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华安基金管理有限公司</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2:中低风险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040008</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华安策略优选</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华安基金管理有限公司</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5:高风险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040007</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华安中小盘</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华安基金管理有限公司</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5:高风险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040005</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华安宏利</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华安基金管理有限公司</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5:高风险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040004</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华安宝利配置</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华安基金管理有限公司</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4:中高风险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040003</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华安现金富利A</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华安基金管理有限公司</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2:中低风险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040002</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华安指数增强</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华安基金管理有限公司</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5:高风险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040001</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华安创新</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华安基金管理有限公司</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5:高风险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009617</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东兴兴利债券C</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东兴基金管理有限公司</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3:中风险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003545</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东兴兴利债券A</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东兴基金管理有限公司</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3:中风险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001475</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易基国防军工</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易方达基金管理有限公司</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4:中高风险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001433</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易方达瑞景</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易方达基金管理有限公司</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4:中高风险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001373</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易基新丝路</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易方达基金管理有限公司</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4:中高风险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001210</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天弘互联网混合</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天弘基金管理有限公司</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4:中高风险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001076</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易基改革红利</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易方达基金管理有限公司</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4:中高风险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001030</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天弘云端生活优选</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天弘基金管理有限公司</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4:中高风险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001018</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易方达新经济</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易方达基金管理有限公司</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5:高风险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000950</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易沪深300非银ETF联接</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易方达基金管理有限公司</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5:高风险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000776</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天弘瑞利分级债券B</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天弘基金管理有限公司</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2:中低风险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000775</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天弘瑞利分级债券A</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天弘基金管理有限公司</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2:中低风险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000671</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天弘季加利理财B</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天弘基金管理有限公司</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2:中低风险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000670</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天弘季加利理财A</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天弘基金管理有限公司</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2:中低风险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000648</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易方达财富快线货币B</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易方达基金管理有限公司</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1:低风险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000647</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易方达财富快线货币A</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易方达基金管理有限公司</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1:低风险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000603</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易方达创新驱动</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易方达基金管理有限公司</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5:高风险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000404</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易方达新兴成长</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易方达基金管理有限公司</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4:中高风险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000245</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天弘稳利定期开放B</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天弘基金管理有限公司</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2:中低风险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000244</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天弘稳利定期开放A</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天弘基金管理有限公司</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2:中低风险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000206</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易方达投资级信用债C</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易方达基金管理有限公司</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3:中风险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000205</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易方达投资级信用债A</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易方达基金管理有限公司</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3:中风险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000148</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易方达高等级信用债C</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易方达基金管理有限公司</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3:中风险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000147</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易方达高等级信用债A</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易方达基金管理有限公司</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3:中风险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000112</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易方达纯债1年C</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易方达基金管理有限公司</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2:中低风险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000111</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易方达纯债1年A</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易方达基金管理有限公司</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2:中低风险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000033</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易方达信用债C</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易方达基金管理有限公司</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3:中风险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000032</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易方达信用债A</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易方达基金管理有限公司</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3:中风险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000010</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易方达天天理财B</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易方达基金管理有限公司</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1:低风险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000009</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易方达天天理财A</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易方达基金管理有限公司</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1:低风险</w:t>
            </w:r>
          </w:p>
        </w:tc>
      </w:tr>
    </w:tbl>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right="0"/>
        <w:jc w:val="both"/>
        <w:textAlignment w:val="auto"/>
        <w:rPr>
          <w:rFonts w:hint="eastAsia" w:ascii="仿宋_GB2312" w:hAnsi="仿宋_GB2312" w:eastAsia="仿宋_GB2312" w:cs="仿宋_GB2312"/>
          <w:i w:val="0"/>
          <w:iCs w:val="0"/>
          <w:caps w:val="0"/>
          <w:color w:val="333333"/>
          <w:spacing w:val="0"/>
          <w:sz w:val="28"/>
          <w:szCs w:val="28"/>
          <w:shd w:val="clear" w:color="auto" w:fill="FFFFFF"/>
        </w:rPr>
      </w:pPr>
    </w:p>
    <w:p>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风险提示：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right="0"/>
        <w:jc w:val="both"/>
        <w:textAlignment w:val="auto"/>
        <w:rPr>
          <w:rFonts w:hint="eastAsia" w:ascii="仿宋_GB2312" w:hAnsi="仿宋_GB2312" w:eastAsia="仿宋_GB2312" w:cs="仿宋_GB2312"/>
          <w:i w:val="0"/>
          <w:iCs w:val="0"/>
          <w:caps w:val="0"/>
          <w:color w:val="333333"/>
          <w:spacing w:val="0"/>
          <w:sz w:val="28"/>
          <w:szCs w:val="28"/>
          <w:shd w:val="clear" w:color="auto" w:fill="FFFFFF"/>
        </w:rPr>
      </w:pPr>
      <w:r>
        <w:rPr>
          <w:rFonts w:hint="eastAsia" w:ascii="仿宋_GB2312" w:hAnsi="仿宋_GB2312" w:eastAsia="仿宋_GB2312" w:cs="仿宋_GB2312"/>
          <w:b w:val="0"/>
          <w:bCs w:val="0"/>
          <w:sz w:val="28"/>
          <w:szCs w:val="28"/>
          <w:lang w:val="en-US" w:eastAsia="zh-CN"/>
        </w:rPr>
        <w:t xml:space="preserve">    投资者购买基金后，所购买的基金产品风险等级可能因为市场或运作情况等影响而发生调整。投资者应及时关注基金风险等级的变化并谨慎决策，以确保自身的投资决策与风险承担能力相匹配。</w:t>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58C7646"/>
    <w:rsid w:val="5DC8558C"/>
    <w:rsid w:val="76CA3F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Office_11.8.2.11734_F1E327BC-269C-435d-A152-05C5408002CA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2024-07-02T06:51:00Z</dcterms:created>
  <dc:creator>Administrator.CZCB-20240701SC</dc:creator>
  <cp:lastModifiedBy>戚晓晓</cp:lastModifiedBy>
  <dcterms:modified xsi:type="dcterms:W3CDTF">2024-08-09T06:25:55Z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2052-11.8.2.11734</vt:lpwstr>
  </property>
  <property fmtid="{D5CDD505-2E9C-101B-9397-08002B2CF9AE}" pid="3" name="ICV">
    <vt:lpwstr>EB58498662F9471DBD50F2A7E42A3F30</vt:lpwstr>
  </property>
</Properties>
</file>